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4AF" w:rsidRPr="00987F82" w:rsidRDefault="009A30B6" w:rsidP="007A254E">
      <w:pPr>
        <w:pStyle w:val="Title"/>
        <w:spacing w:before="120"/>
        <w:rPr>
          <w:rFonts w:cs="Arial"/>
          <w:sz w:val="48"/>
          <w:szCs w:val="48"/>
          <w:lang w:val="en"/>
        </w:rPr>
      </w:pPr>
      <w:r w:rsidRPr="00987F82">
        <w:rPr>
          <w:rFonts w:cs="Arial"/>
          <w:noProof/>
          <w:szCs w:val="24"/>
          <w:lang w:val="en-ZA" w:eastAsia="en-ZA"/>
        </w:rPr>
        <w:drawing>
          <wp:inline distT="0" distB="0" distL="0" distR="0" wp14:anchorId="21DF8B12" wp14:editId="17E6E552">
            <wp:extent cx="676275" cy="657225"/>
            <wp:effectExtent l="0" t="0" r="9525" b="9525"/>
            <wp:docPr id="1" name="Picture 1" descr="G:\Masters\Logos\Ndlambe 2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Masters\Logos\Ndlambe 201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5534" cy="656505"/>
                    </a:xfrm>
                    <a:prstGeom prst="rect">
                      <a:avLst/>
                    </a:prstGeom>
                    <a:noFill/>
                    <a:ln>
                      <a:noFill/>
                    </a:ln>
                  </pic:spPr>
                </pic:pic>
              </a:graphicData>
            </a:graphic>
          </wp:inline>
        </w:drawing>
      </w:r>
    </w:p>
    <w:p w:rsidR="007C1BC4" w:rsidRPr="00E65304" w:rsidRDefault="009A30B6" w:rsidP="007A254E">
      <w:pPr>
        <w:pStyle w:val="Title"/>
        <w:spacing w:before="120"/>
        <w:rPr>
          <w:rFonts w:cs="Arial"/>
          <w:lang w:val="en"/>
        </w:rPr>
      </w:pPr>
      <w:r w:rsidRPr="00E65304">
        <w:rPr>
          <w:rFonts w:cs="Arial"/>
          <w:lang w:val="en"/>
        </w:rPr>
        <w:t>NDLAMBE</w:t>
      </w:r>
      <w:r w:rsidR="003054AF" w:rsidRPr="00E65304">
        <w:rPr>
          <w:rFonts w:cs="Arial"/>
          <w:lang w:val="en"/>
        </w:rPr>
        <w:t xml:space="preserve"> LOCAL</w:t>
      </w:r>
      <w:r w:rsidR="007C1BC4" w:rsidRPr="00E65304">
        <w:rPr>
          <w:rFonts w:cs="Arial"/>
          <w:lang w:val="en"/>
        </w:rPr>
        <w:t xml:space="preserve"> MUNICIPALITY</w:t>
      </w:r>
    </w:p>
    <w:p w:rsidR="00712932" w:rsidRPr="00E65304" w:rsidRDefault="00712932" w:rsidP="00712932">
      <w:pPr>
        <w:autoSpaceDE w:val="0"/>
        <w:autoSpaceDN w:val="0"/>
        <w:adjustRightInd w:val="0"/>
        <w:jc w:val="center"/>
        <w:rPr>
          <w:b/>
        </w:rPr>
      </w:pPr>
      <w:r w:rsidRPr="00E65304">
        <w:rPr>
          <w:b/>
        </w:rPr>
        <w:t xml:space="preserve">TENDER NOTICE &amp; INVITATION TO TENDER FOR </w:t>
      </w:r>
      <w:r w:rsidR="00187760" w:rsidRPr="00E65304">
        <w:rPr>
          <w:b/>
        </w:rPr>
        <w:t>PRINCIPAL CONTRACTOR</w:t>
      </w:r>
      <w:r w:rsidR="00C1493F" w:rsidRPr="00E65304">
        <w:rPr>
          <w:b/>
        </w:rPr>
        <w:t>S</w:t>
      </w:r>
    </w:p>
    <w:p w:rsidR="00712932" w:rsidRPr="00E65304" w:rsidRDefault="005013FD" w:rsidP="00712932">
      <w:pPr>
        <w:autoSpaceDE w:val="0"/>
        <w:autoSpaceDN w:val="0"/>
        <w:adjustRightInd w:val="0"/>
        <w:jc w:val="center"/>
        <w:rPr>
          <w:b/>
        </w:rPr>
      </w:pPr>
      <w:r w:rsidRPr="00E65304">
        <w:rPr>
          <w:b/>
        </w:rPr>
        <w:t>P</w:t>
      </w:r>
      <w:r w:rsidR="008B69CE" w:rsidRPr="00E65304">
        <w:rPr>
          <w:b/>
        </w:rPr>
        <w:t>ROJEC</w:t>
      </w:r>
      <w:r w:rsidR="00AA60C6" w:rsidRPr="00E65304">
        <w:rPr>
          <w:b/>
        </w:rPr>
        <w:t xml:space="preserve">T NAME: </w:t>
      </w:r>
      <w:r w:rsidR="007D297E" w:rsidRPr="00E65304">
        <w:rPr>
          <w:b/>
        </w:rPr>
        <w:t>REFURBISHMENT &amp; UPGRADE OF PUMP STATIONS</w:t>
      </w:r>
      <w:r w:rsidR="00ED262E" w:rsidRPr="00E65304">
        <w:rPr>
          <w:b/>
        </w:rPr>
        <w:t xml:space="preserve"> IN NDLAMBE</w:t>
      </w:r>
    </w:p>
    <w:p w:rsidR="009A30B6" w:rsidRPr="004F67C2" w:rsidRDefault="00150D5D" w:rsidP="00693CF0">
      <w:pPr>
        <w:autoSpaceDE w:val="0"/>
        <w:autoSpaceDN w:val="0"/>
        <w:adjustRightInd w:val="0"/>
        <w:spacing w:before="120" w:after="120"/>
        <w:jc w:val="both"/>
        <w:rPr>
          <w:sz w:val="18"/>
          <w:szCs w:val="18"/>
        </w:rPr>
      </w:pPr>
      <w:bookmarkStart w:id="0" w:name="_Hlk490222081"/>
      <w:r w:rsidRPr="004F67C2">
        <w:rPr>
          <w:sz w:val="18"/>
          <w:szCs w:val="18"/>
          <w:lang w:val="en-GB"/>
        </w:rPr>
        <w:t>Tenders are hereby invited from suitably qualified</w:t>
      </w:r>
      <w:r w:rsidR="00C1493F" w:rsidRPr="004F67C2">
        <w:rPr>
          <w:sz w:val="18"/>
          <w:szCs w:val="18"/>
          <w:lang w:val="en-GB"/>
        </w:rPr>
        <w:t xml:space="preserve"> </w:t>
      </w:r>
      <w:r w:rsidR="007A254E" w:rsidRPr="004F67C2">
        <w:rPr>
          <w:sz w:val="18"/>
          <w:szCs w:val="18"/>
          <w:lang w:val="en-GB"/>
        </w:rPr>
        <w:t>contractors</w:t>
      </w:r>
      <w:r w:rsidRPr="004F67C2">
        <w:rPr>
          <w:sz w:val="18"/>
          <w:szCs w:val="18"/>
          <w:lang w:val="en-GB"/>
        </w:rPr>
        <w:t xml:space="preserve"> </w:t>
      </w:r>
      <w:r w:rsidR="009A30B6" w:rsidRPr="004F67C2">
        <w:rPr>
          <w:sz w:val="18"/>
          <w:szCs w:val="18"/>
          <w:lang w:val="en-GB"/>
        </w:rPr>
        <w:t>for the construction</w:t>
      </w:r>
      <w:r w:rsidR="0096158B" w:rsidRPr="004F67C2">
        <w:rPr>
          <w:sz w:val="18"/>
          <w:szCs w:val="18"/>
          <w:lang w:val="en-GB"/>
        </w:rPr>
        <w:t xml:space="preserve"> of the following:</w:t>
      </w:r>
      <w:bookmarkEnd w:id="0"/>
    </w:p>
    <w:tbl>
      <w:tblPr>
        <w:tblW w:w="108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1701"/>
        <w:gridCol w:w="4982"/>
        <w:gridCol w:w="855"/>
        <w:gridCol w:w="1250"/>
        <w:gridCol w:w="1065"/>
      </w:tblGrid>
      <w:tr w:rsidR="009B4828" w:rsidRPr="004F67C2" w:rsidTr="00377556">
        <w:trPr>
          <w:trHeight w:val="223"/>
        </w:trPr>
        <w:tc>
          <w:tcPr>
            <w:tcW w:w="964" w:type="dxa"/>
            <w:shd w:val="clear" w:color="auto" w:fill="D9D9D9" w:themeFill="background1" w:themeFillShade="D9"/>
          </w:tcPr>
          <w:p w:rsidR="009B4828" w:rsidRPr="004F67C2" w:rsidRDefault="00C91CBB" w:rsidP="00C1493F">
            <w:pPr>
              <w:autoSpaceDE w:val="0"/>
              <w:autoSpaceDN w:val="0"/>
              <w:adjustRightInd w:val="0"/>
              <w:rPr>
                <w:b/>
                <w:sz w:val="18"/>
                <w:szCs w:val="18"/>
              </w:rPr>
            </w:pPr>
            <w:r>
              <w:rPr>
                <w:b/>
                <w:sz w:val="18"/>
                <w:szCs w:val="18"/>
              </w:rPr>
              <w:t>Clusters</w:t>
            </w:r>
          </w:p>
        </w:tc>
        <w:tc>
          <w:tcPr>
            <w:tcW w:w="1701" w:type="dxa"/>
            <w:shd w:val="clear" w:color="auto" w:fill="D9D9D9" w:themeFill="background1" w:themeFillShade="D9"/>
            <w:vAlign w:val="center"/>
          </w:tcPr>
          <w:p w:rsidR="009B4828" w:rsidRPr="004F67C2" w:rsidRDefault="009B4828" w:rsidP="00C1493F">
            <w:pPr>
              <w:autoSpaceDE w:val="0"/>
              <w:autoSpaceDN w:val="0"/>
              <w:adjustRightInd w:val="0"/>
              <w:rPr>
                <w:b/>
                <w:sz w:val="18"/>
                <w:szCs w:val="18"/>
              </w:rPr>
            </w:pPr>
            <w:r w:rsidRPr="004F67C2">
              <w:rPr>
                <w:b/>
                <w:sz w:val="18"/>
                <w:szCs w:val="18"/>
              </w:rPr>
              <w:t>Packages</w:t>
            </w:r>
          </w:p>
        </w:tc>
        <w:tc>
          <w:tcPr>
            <w:tcW w:w="4982" w:type="dxa"/>
            <w:shd w:val="clear" w:color="auto" w:fill="D9D9D9" w:themeFill="background1" w:themeFillShade="D9"/>
            <w:vAlign w:val="center"/>
          </w:tcPr>
          <w:p w:rsidR="009B4828" w:rsidRPr="004F67C2" w:rsidRDefault="009B4828" w:rsidP="00C1493F">
            <w:pPr>
              <w:autoSpaceDE w:val="0"/>
              <w:autoSpaceDN w:val="0"/>
              <w:adjustRightInd w:val="0"/>
              <w:rPr>
                <w:b/>
                <w:sz w:val="18"/>
                <w:szCs w:val="18"/>
              </w:rPr>
            </w:pPr>
            <w:r w:rsidRPr="004F67C2">
              <w:rPr>
                <w:b/>
                <w:sz w:val="18"/>
                <w:szCs w:val="18"/>
              </w:rPr>
              <w:t>Project Name</w:t>
            </w:r>
          </w:p>
        </w:tc>
        <w:tc>
          <w:tcPr>
            <w:tcW w:w="855" w:type="dxa"/>
            <w:shd w:val="clear" w:color="auto" w:fill="D9D9D9" w:themeFill="background1" w:themeFillShade="D9"/>
            <w:vAlign w:val="center"/>
          </w:tcPr>
          <w:p w:rsidR="009B4828" w:rsidRPr="004F67C2" w:rsidRDefault="009B4828" w:rsidP="00C1493F">
            <w:pPr>
              <w:autoSpaceDE w:val="0"/>
              <w:autoSpaceDN w:val="0"/>
              <w:adjustRightInd w:val="0"/>
              <w:jc w:val="center"/>
              <w:rPr>
                <w:b/>
                <w:sz w:val="18"/>
                <w:szCs w:val="18"/>
              </w:rPr>
            </w:pPr>
            <w:r w:rsidRPr="004F67C2">
              <w:rPr>
                <w:b/>
                <w:sz w:val="18"/>
                <w:szCs w:val="18"/>
              </w:rPr>
              <w:t>Ward</w:t>
            </w:r>
          </w:p>
        </w:tc>
        <w:tc>
          <w:tcPr>
            <w:tcW w:w="1250" w:type="dxa"/>
            <w:shd w:val="clear" w:color="auto" w:fill="D9D9D9" w:themeFill="background1" w:themeFillShade="D9"/>
            <w:vAlign w:val="center"/>
          </w:tcPr>
          <w:p w:rsidR="009B4828" w:rsidRPr="004F67C2" w:rsidRDefault="009B4828" w:rsidP="00C1493F">
            <w:pPr>
              <w:autoSpaceDE w:val="0"/>
              <w:autoSpaceDN w:val="0"/>
              <w:adjustRightInd w:val="0"/>
              <w:jc w:val="center"/>
              <w:rPr>
                <w:b/>
                <w:sz w:val="18"/>
                <w:szCs w:val="18"/>
              </w:rPr>
            </w:pPr>
            <w:r w:rsidRPr="004F67C2">
              <w:rPr>
                <w:b/>
                <w:sz w:val="18"/>
                <w:szCs w:val="18"/>
              </w:rPr>
              <w:t>Tender No.</w:t>
            </w:r>
          </w:p>
        </w:tc>
        <w:tc>
          <w:tcPr>
            <w:tcW w:w="1065" w:type="dxa"/>
            <w:shd w:val="clear" w:color="auto" w:fill="D9D9D9" w:themeFill="background1" w:themeFillShade="D9"/>
            <w:vAlign w:val="center"/>
          </w:tcPr>
          <w:p w:rsidR="009B4828" w:rsidRPr="004F67C2" w:rsidRDefault="009B4828" w:rsidP="00C1493F">
            <w:pPr>
              <w:autoSpaceDE w:val="0"/>
              <w:autoSpaceDN w:val="0"/>
              <w:adjustRightInd w:val="0"/>
              <w:jc w:val="center"/>
              <w:rPr>
                <w:b/>
                <w:sz w:val="18"/>
                <w:szCs w:val="18"/>
              </w:rPr>
            </w:pPr>
            <w:r w:rsidRPr="004F67C2">
              <w:rPr>
                <w:b/>
                <w:sz w:val="18"/>
                <w:szCs w:val="18"/>
              </w:rPr>
              <w:t>CIDB Grading</w:t>
            </w:r>
          </w:p>
        </w:tc>
      </w:tr>
      <w:tr w:rsidR="00C91CBB" w:rsidRPr="004F67C2" w:rsidTr="00377556">
        <w:trPr>
          <w:trHeight w:val="455"/>
        </w:trPr>
        <w:tc>
          <w:tcPr>
            <w:tcW w:w="964" w:type="dxa"/>
            <w:vMerge w:val="restart"/>
          </w:tcPr>
          <w:p w:rsidR="00C91CBB" w:rsidRDefault="00C91CBB" w:rsidP="00C91CBB">
            <w:pPr>
              <w:autoSpaceDE w:val="0"/>
              <w:autoSpaceDN w:val="0"/>
              <w:adjustRightInd w:val="0"/>
              <w:jc w:val="center"/>
              <w:rPr>
                <w:szCs w:val="18"/>
              </w:rPr>
            </w:pPr>
          </w:p>
          <w:p w:rsidR="00C91CBB" w:rsidRDefault="00C91CBB" w:rsidP="00C91CBB">
            <w:pPr>
              <w:autoSpaceDE w:val="0"/>
              <w:autoSpaceDN w:val="0"/>
              <w:adjustRightInd w:val="0"/>
              <w:jc w:val="center"/>
              <w:rPr>
                <w:szCs w:val="18"/>
              </w:rPr>
            </w:pPr>
          </w:p>
          <w:p w:rsidR="00C91CBB" w:rsidRDefault="00C91CBB" w:rsidP="00C91CBB">
            <w:pPr>
              <w:autoSpaceDE w:val="0"/>
              <w:autoSpaceDN w:val="0"/>
              <w:adjustRightInd w:val="0"/>
              <w:jc w:val="center"/>
              <w:rPr>
                <w:szCs w:val="18"/>
              </w:rPr>
            </w:pPr>
          </w:p>
          <w:p w:rsidR="00C91CBB" w:rsidRPr="004F67C2" w:rsidRDefault="00C91CBB" w:rsidP="00C91CBB">
            <w:pPr>
              <w:autoSpaceDE w:val="0"/>
              <w:autoSpaceDN w:val="0"/>
              <w:adjustRightInd w:val="0"/>
              <w:jc w:val="center"/>
              <w:rPr>
                <w:szCs w:val="18"/>
              </w:rPr>
            </w:pPr>
            <w:r>
              <w:rPr>
                <w:szCs w:val="18"/>
              </w:rPr>
              <w:t>1</w:t>
            </w:r>
          </w:p>
        </w:tc>
        <w:tc>
          <w:tcPr>
            <w:tcW w:w="1701" w:type="dxa"/>
          </w:tcPr>
          <w:p w:rsidR="00C91CBB" w:rsidRPr="004F67C2" w:rsidRDefault="00C91CBB" w:rsidP="00712932">
            <w:pPr>
              <w:autoSpaceDE w:val="0"/>
              <w:autoSpaceDN w:val="0"/>
              <w:adjustRightInd w:val="0"/>
              <w:rPr>
                <w:szCs w:val="18"/>
              </w:rPr>
            </w:pPr>
            <w:r w:rsidRPr="004F67C2">
              <w:rPr>
                <w:szCs w:val="18"/>
              </w:rPr>
              <w:t>Alex. Pump Station No.1</w:t>
            </w:r>
          </w:p>
        </w:tc>
        <w:tc>
          <w:tcPr>
            <w:tcW w:w="4982" w:type="dxa"/>
            <w:vAlign w:val="center"/>
          </w:tcPr>
          <w:p w:rsidR="00C91CBB" w:rsidRPr="004F67C2" w:rsidRDefault="00C91CBB" w:rsidP="00396AF5">
            <w:pPr>
              <w:autoSpaceDE w:val="0"/>
              <w:autoSpaceDN w:val="0"/>
              <w:adjustRightInd w:val="0"/>
              <w:rPr>
                <w:sz w:val="18"/>
                <w:szCs w:val="18"/>
              </w:rPr>
            </w:pPr>
            <w:r w:rsidRPr="004F67C2">
              <w:rPr>
                <w:sz w:val="18"/>
                <w:szCs w:val="18"/>
              </w:rPr>
              <w:t>Refurbishment &amp; Upgrade of Alex Pump Statio</w:t>
            </w:r>
            <w:r>
              <w:rPr>
                <w:sz w:val="18"/>
                <w:szCs w:val="18"/>
              </w:rPr>
              <w:t>n</w:t>
            </w:r>
            <w:r w:rsidRPr="004F67C2">
              <w:rPr>
                <w:sz w:val="18"/>
                <w:szCs w:val="18"/>
              </w:rPr>
              <w:t xml:space="preserve"> No 1: </w:t>
            </w:r>
            <w:bookmarkStart w:id="1" w:name="_Hlk13568507"/>
            <w:r w:rsidRPr="004F67C2">
              <w:rPr>
                <w:sz w:val="18"/>
                <w:szCs w:val="18"/>
              </w:rPr>
              <w:t>Construction of Clear View Fencing and Overflow Sump</w:t>
            </w:r>
            <w:bookmarkEnd w:id="1"/>
          </w:p>
        </w:tc>
        <w:tc>
          <w:tcPr>
            <w:tcW w:w="855" w:type="dxa"/>
            <w:vAlign w:val="center"/>
          </w:tcPr>
          <w:p w:rsidR="00C91CBB" w:rsidRPr="004F67C2" w:rsidRDefault="00C91CBB" w:rsidP="00712932">
            <w:pPr>
              <w:autoSpaceDE w:val="0"/>
              <w:autoSpaceDN w:val="0"/>
              <w:adjustRightInd w:val="0"/>
              <w:jc w:val="center"/>
              <w:rPr>
                <w:sz w:val="18"/>
                <w:szCs w:val="18"/>
              </w:rPr>
            </w:pPr>
            <w:r w:rsidRPr="004F67C2">
              <w:rPr>
                <w:sz w:val="18"/>
                <w:szCs w:val="18"/>
              </w:rPr>
              <w:t>1</w:t>
            </w:r>
          </w:p>
        </w:tc>
        <w:tc>
          <w:tcPr>
            <w:tcW w:w="1250" w:type="dxa"/>
            <w:vMerge w:val="restart"/>
            <w:vAlign w:val="center"/>
          </w:tcPr>
          <w:p w:rsidR="00C91CBB" w:rsidRPr="004F67C2" w:rsidRDefault="00C91CBB" w:rsidP="009B459A">
            <w:pPr>
              <w:autoSpaceDE w:val="0"/>
              <w:autoSpaceDN w:val="0"/>
              <w:adjustRightInd w:val="0"/>
              <w:jc w:val="center"/>
              <w:rPr>
                <w:sz w:val="18"/>
                <w:szCs w:val="18"/>
              </w:rPr>
            </w:pPr>
            <w:r>
              <w:rPr>
                <w:b/>
                <w:color w:val="000000"/>
                <w:sz w:val="18"/>
                <w:szCs w:val="18"/>
              </w:rPr>
              <w:t>128/2020(</w:t>
            </w:r>
            <w:r w:rsidRPr="004F67C2">
              <w:rPr>
                <w:b/>
                <w:color w:val="000000"/>
                <w:sz w:val="18"/>
                <w:szCs w:val="18"/>
              </w:rPr>
              <w:t>WSIG2020-004</w:t>
            </w:r>
            <w:r>
              <w:rPr>
                <w:b/>
                <w:bCs/>
                <w:sz w:val="18"/>
                <w:szCs w:val="18"/>
              </w:rPr>
              <w:t>)</w:t>
            </w:r>
            <w:r w:rsidRPr="004F67C2">
              <w:rPr>
                <w:b/>
                <w:bCs/>
                <w:sz w:val="18"/>
                <w:szCs w:val="18"/>
              </w:rPr>
              <w:t xml:space="preserve">       </w:t>
            </w:r>
          </w:p>
        </w:tc>
        <w:tc>
          <w:tcPr>
            <w:tcW w:w="1065" w:type="dxa"/>
            <w:vMerge w:val="restart"/>
            <w:vAlign w:val="center"/>
          </w:tcPr>
          <w:p w:rsidR="00C91CBB" w:rsidRPr="004F67C2" w:rsidRDefault="00C91CBB" w:rsidP="00A4182C">
            <w:pPr>
              <w:autoSpaceDE w:val="0"/>
              <w:autoSpaceDN w:val="0"/>
              <w:adjustRightInd w:val="0"/>
              <w:jc w:val="center"/>
              <w:rPr>
                <w:sz w:val="18"/>
                <w:szCs w:val="18"/>
              </w:rPr>
            </w:pPr>
            <w:r w:rsidRPr="004F67C2">
              <w:rPr>
                <w:sz w:val="18"/>
                <w:szCs w:val="18"/>
              </w:rPr>
              <w:t>2 ME or higher</w:t>
            </w:r>
          </w:p>
        </w:tc>
      </w:tr>
      <w:tr w:rsidR="00C91CBB" w:rsidRPr="004F67C2" w:rsidTr="00377556">
        <w:trPr>
          <w:trHeight w:val="487"/>
        </w:trPr>
        <w:tc>
          <w:tcPr>
            <w:tcW w:w="964" w:type="dxa"/>
            <w:vMerge/>
          </w:tcPr>
          <w:p w:rsidR="00C91CBB" w:rsidRPr="004F67C2" w:rsidRDefault="00C91CBB" w:rsidP="005F1F99">
            <w:pPr>
              <w:autoSpaceDE w:val="0"/>
              <w:autoSpaceDN w:val="0"/>
              <w:adjustRightInd w:val="0"/>
              <w:rPr>
                <w:szCs w:val="18"/>
              </w:rPr>
            </w:pPr>
          </w:p>
        </w:tc>
        <w:tc>
          <w:tcPr>
            <w:tcW w:w="1701" w:type="dxa"/>
          </w:tcPr>
          <w:p w:rsidR="00C91CBB" w:rsidRPr="004F67C2" w:rsidRDefault="00C91CBB" w:rsidP="005F1F99">
            <w:pPr>
              <w:autoSpaceDE w:val="0"/>
              <w:autoSpaceDN w:val="0"/>
              <w:adjustRightInd w:val="0"/>
              <w:rPr>
                <w:szCs w:val="18"/>
              </w:rPr>
            </w:pPr>
            <w:r w:rsidRPr="004F67C2">
              <w:rPr>
                <w:szCs w:val="18"/>
              </w:rPr>
              <w:t>Alex. Pump Station No.3</w:t>
            </w:r>
          </w:p>
        </w:tc>
        <w:tc>
          <w:tcPr>
            <w:tcW w:w="4982" w:type="dxa"/>
            <w:vAlign w:val="center"/>
          </w:tcPr>
          <w:p w:rsidR="00C91CBB" w:rsidRPr="004F67C2" w:rsidRDefault="00C91CBB" w:rsidP="005F1F99">
            <w:pPr>
              <w:autoSpaceDE w:val="0"/>
              <w:autoSpaceDN w:val="0"/>
              <w:adjustRightInd w:val="0"/>
              <w:rPr>
                <w:sz w:val="18"/>
                <w:szCs w:val="18"/>
              </w:rPr>
            </w:pPr>
            <w:r w:rsidRPr="004F67C2">
              <w:rPr>
                <w:sz w:val="18"/>
                <w:szCs w:val="18"/>
              </w:rPr>
              <w:t>Refurbishment &amp; Upgrade of Alex Pump Station No 3: Construction of Clear View Fencing and Manual Coarse Bar Screen</w:t>
            </w:r>
          </w:p>
        </w:tc>
        <w:tc>
          <w:tcPr>
            <w:tcW w:w="855" w:type="dxa"/>
            <w:vAlign w:val="center"/>
          </w:tcPr>
          <w:p w:rsidR="00C91CBB" w:rsidRPr="004F67C2" w:rsidRDefault="00C91CBB" w:rsidP="00C1493F">
            <w:pPr>
              <w:autoSpaceDE w:val="0"/>
              <w:autoSpaceDN w:val="0"/>
              <w:adjustRightInd w:val="0"/>
              <w:jc w:val="center"/>
              <w:rPr>
                <w:sz w:val="18"/>
                <w:szCs w:val="18"/>
              </w:rPr>
            </w:pPr>
            <w:r w:rsidRPr="004F67C2">
              <w:rPr>
                <w:sz w:val="18"/>
                <w:szCs w:val="18"/>
              </w:rPr>
              <w:t>1</w:t>
            </w:r>
          </w:p>
        </w:tc>
        <w:tc>
          <w:tcPr>
            <w:tcW w:w="1250" w:type="dxa"/>
            <w:vMerge/>
            <w:vAlign w:val="center"/>
          </w:tcPr>
          <w:p w:rsidR="00C91CBB" w:rsidRPr="004F67C2" w:rsidRDefault="00C91CBB" w:rsidP="00C1493F">
            <w:pPr>
              <w:autoSpaceDE w:val="0"/>
              <w:autoSpaceDN w:val="0"/>
              <w:adjustRightInd w:val="0"/>
              <w:jc w:val="center"/>
              <w:rPr>
                <w:sz w:val="18"/>
                <w:szCs w:val="18"/>
              </w:rPr>
            </w:pPr>
          </w:p>
        </w:tc>
        <w:tc>
          <w:tcPr>
            <w:tcW w:w="1065" w:type="dxa"/>
            <w:vMerge/>
            <w:vAlign w:val="center"/>
          </w:tcPr>
          <w:p w:rsidR="00C91CBB" w:rsidRPr="004F67C2" w:rsidRDefault="00C91CBB" w:rsidP="00A4182C">
            <w:pPr>
              <w:autoSpaceDE w:val="0"/>
              <w:autoSpaceDN w:val="0"/>
              <w:adjustRightInd w:val="0"/>
              <w:jc w:val="center"/>
              <w:rPr>
                <w:sz w:val="18"/>
                <w:szCs w:val="18"/>
              </w:rPr>
            </w:pPr>
          </w:p>
        </w:tc>
      </w:tr>
      <w:tr w:rsidR="00C91CBB" w:rsidRPr="004F67C2" w:rsidTr="00377556">
        <w:trPr>
          <w:trHeight w:val="720"/>
        </w:trPr>
        <w:tc>
          <w:tcPr>
            <w:tcW w:w="964" w:type="dxa"/>
            <w:vMerge/>
          </w:tcPr>
          <w:p w:rsidR="00C91CBB" w:rsidRPr="004F67C2" w:rsidRDefault="00C91CBB" w:rsidP="005F1F99">
            <w:pPr>
              <w:autoSpaceDE w:val="0"/>
              <w:autoSpaceDN w:val="0"/>
              <w:adjustRightInd w:val="0"/>
              <w:rPr>
                <w:szCs w:val="18"/>
              </w:rPr>
            </w:pPr>
          </w:p>
        </w:tc>
        <w:tc>
          <w:tcPr>
            <w:tcW w:w="1701" w:type="dxa"/>
          </w:tcPr>
          <w:p w:rsidR="00C91CBB" w:rsidRPr="004F67C2" w:rsidRDefault="00C91CBB" w:rsidP="005F1F99">
            <w:pPr>
              <w:autoSpaceDE w:val="0"/>
              <w:autoSpaceDN w:val="0"/>
              <w:adjustRightInd w:val="0"/>
              <w:rPr>
                <w:szCs w:val="18"/>
              </w:rPr>
            </w:pPr>
            <w:r w:rsidRPr="004F67C2">
              <w:rPr>
                <w:szCs w:val="18"/>
              </w:rPr>
              <w:t>Alex. Pump Station No.4</w:t>
            </w:r>
          </w:p>
        </w:tc>
        <w:tc>
          <w:tcPr>
            <w:tcW w:w="4982" w:type="dxa"/>
            <w:vAlign w:val="center"/>
          </w:tcPr>
          <w:p w:rsidR="00C91CBB" w:rsidRPr="004F67C2" w:rsidRDefault="00C91CBB" w:rsidP="00597931">
            <w:pPr>
              <w:autoSpaceDE w:val="0"/>
              <w:autoSpaceDN w:val="0"/>
              <w:adjustRightInd w:val="0"/>
              <w:rPr>
                <w:sz w:val="18"/>
                <w:szCs w:val="18"/>
              </w:rPr>
            </w:pPr>
            <w:r w:rsidRPr="004F67C2">
              <w:rPr>
                <w:sz w:val="18"/>
                <w:szCs w:val="18"/>
              </w:rPr>
              <w:t>Refurbishment &amp; Upgrade of Alex Pump Station No 4: Construction of Clear View Fencing, Extra Block Sight Wall and Overflow Sump</w:t>
            </w:r>
          </w:p>
        </w:tc>
        <w:tc>
          <w:tcPr>
            <w:tcW w:w="855" w:type="dxa"/>
            <w:vAlign w:val="center"/>
          </w:tcPr>
          <w:p w:rsidR="00C91CBB" w:rsidRPr="004F67C2" w:rsidRDefault="00C91CBB" w:rsidP="00C1493F">
            <w:pPr>
              <w:autoSpaceDE w:val="0"/>
              <w:autoSpaceDN w:val="0"/>
              <w:adjustRightInd w:val="0"/>
              <w:jc w:val="center"/>
              <w:rPr>
                <w:sz w:val="18"/>
                <w:szCs w:val="18"/>
              </w:rPr>
            </w:pPr>
            <w:r w:rsidRPr="004F67C2">
              <w:rPr>
                <w:sz w:val="18"/>
                <w:szCs w:val="18"/>
              </w:rPr>
              <w:t>1</w:t>
            </w:r>
          </w:p>
        </w:tc>
        <w:tc>
          <w:tcPr>
            <w:tcW w:w="1250" w:type="dxa"/>
            <w:vMerge/>
            <w:vAlign w:val="center"/>
          </w:tcPr>
          <w:p w:rsidR="00C91CBB" w:rsidRPr="004F67C2" w:rsidRDefault="00C91CBB" w:rsidP="00C1493F">
            <w:pPr>
              <w:autoSpaceDE w:val="0"/>
              <w:autoSpaceDN w:val="0"/>
              <w:adjustRightInd w:val="0"/>
              <w:jc w:val="center"/>
              <w:rPr>
                <w:sz w:val="18"/>
                <w:szCs w:val="18"/>
              </w:rPr>
            </w:pPr>
          </w:p>
        </w:tc>
        <w:tc>
          <w:tcPr>
            <w:tcW w:w="1065" w:type="dxa"/>
            <w:vMerge/>
            <w:vAlign w:val="center"/>
          </w:tcPr>
          <w:p w:rsidR="00C91CBB" w:rsidRPr="004F67C2" w:rsidRDefault="00C91CBB" w:rsidP="00C1493F">
            <w:pPr>
              <w:autoSpaceDE w:val="0"/>
              <w:autoSpaceDN w:val="0"/>
              <w:adjustRightInd w:val="0"/>
              <w:jc w:val="center"/>
              <w:rPr>
                <w:sz w:val="18"/>
                <w:szCs w:val="18"/>
              </w:rPr>
            </w:pPr>
          </w:p>
        </w:tc>
      </w:tr>
      <w:tr w:rsidR="00C91CBB" w:rsidRPr="004F67C2" w:rsidTr="00377556">
        <w:trPr>
          <w:trHeight w:val="720"/>
        </w:trPr>
        <w:tc>
          <w:tcPr>
            <w:tcW w:w="964" w:type="dxa"/>
            <w:vMerge w:val="restart"/>
          </w:tcPr>
          <w:p w:rsidR="00C91CBB" w:rsidRDefault="00C91CBB" w:rsidP="00C91CBB">
            <w:pPr>
              <w:autoSpaceDE w:val="0"/>
              <w:autoSpaceDN w:val="0"/>
              <w:adjustRightInd w:val="0"/>
              <w:jc w:val="center"/>
              <w:rPr>
                <w:szCs w:val="18"/>
              </w:rPr>
            </w:pPr>
          </w:p>
          <w:p w:rsidR="00C91CBB" w:rsidRDefault="00C91CBB" w:rsidP="00C91CBB">
            <w:pPr>
              <w:autoSpaceDE w:val="0"/>
              <w:autoSpaceDN w:val="0"/>
              <w:adjustRightInd w:val="0"/>
              <w:jc w:val="center"/>
              <w:rPr>
                <w:szCs w:val="18"/>
              </w:rPr>
            </w:pPr>
          </w:p>
          <w:p w:rsidR="00C91CBB" w:rsidRDefault="00C91CBB" w:rsidP="00C91CBB">
            <w:pPr>
              <w:autoSpaceDE w:val="0"/>
              <w:autoSpaceDN w:val="0"/>
              <w:adjustRightInd w:val="0"/>
              <w:jc w:val="center"/>
              <w:rPr>
                <w:szCs w:val="18"/>
              </w:rPr>
            </w:pPr>
          </w:p>
          <w:p w:rsidR="00C91CBB" w:rsidRDefault="00C91CBB" w:rsidP="00C91CBB">
            <w:pPr>
              <w:autoSpaceDE w:val="0"/>
              <w:autoSpaceDN w:val="0"/>
              <w:adjustRightInd w:val="0"/>
              <w:jc w:val="center"/>
              <w:rPr>
                <w:szCs w:val="18"/>
              </w:rPr>
            </w:pPr>
          </w:p>
          <w:p w:rsidR="00C91CBB" w:rsidRPr="004F67C2" w:rsidRDefault="00C91CBB" w:rsidP="00C91CBB">
            <w:pPr>
              <w:autoSpaceDE w:val="0"/>
              <w:autoSpaceDN w:val="0"/>
              <w:adjustRightInd w:val="0"/>
              <w:jc w:val="center"/>
              <w:rPr>
                <w:szCs w:val="18"/>
              </w:rPr>
            </w:pPr>
            <w:r>
              <w:rPr>
                <w:szCs w:val="18"/>
              </w:rPr>
              <w:t>2</w:t>
            </w:r>
          </w:p>
        </w:tc>
        <w:tc>
          <w:tcPr>
            <w:tcW w:w="1701" w:type="dxa"/>
          </w:tcPr>
          <w:p w:rsidR="00C91CBB" w:rsidRPr="004F67C2" w:rsidRDefault="00C91CBB" w:rsidP="006C24B6">
            <w:pPr>
              <w:autoSpaceDE w:val="0"/>
              <w:autoSpaceDN w:val="0"/>
              <w:adjustRightInd w:val="0"/>
              <w:rPr>
                <w:szCs w:val="18"/>
              </w:rPr>
            </w:pPr>
            <w:r w:rsidRPr="004F67C2">
              <w:rPr>
                <w:szCs w:val="18"/>
              </w:rPr>
              <w:t>Sand Bar Pump Station</w:t>
            </w:r>
          </w:p>
        </w:tc>
        <w:tc>
          <w:tcPr>
            <w:tcW w:w="4982" w:type="dxa"/>
            <w:vAlign w:val="center"/>
          </w:tcPr>
          <w:p w:rsidR="00C91CBB" w:rsidRPr="004F67C2" w:rsidRDefault="00C91CBB" w:rsidP="006C24B6">
            <w:pPr>
              <w:autoSpaceDE w:val="0"/>
              <w:autoSpaceDN w:val="0"/>
              <w:adjustRightInd w:val="0"/>
              <w:rPr>
                <w:sz w:val="18"/>
                <w:szCs w:val="18"/>
              </w:rPr>
            </w:pPr>
            <w:r w:rsidRPr="004F67C2">
              <w:rPr>
                <w:sz w:val="18"/>
                <w:szCs w:val="18"/>
              </w:rPr>
              <w:t xml:space="preserve">Refurbishment &amp; Upgrade of </w:t>
            </w:r>
            <w:proofErr w:type="spellStart"/>
            <w:r w:rsidRPr="004F67C2">
              <w:rPr>
                <w:sz w:val="18"/>
                <w:szCs w:val="18"/>
              </w:rPr>
              <w:t>Bushmans</w:t>
            </w:r>
            <w:proofErr w:type="spellEnd"/>
            <w:r w:rsidRPr="004F67C2">
              <w:rPr>
                <w:sz w:val="18"/>
                <w:szCs w:val="18"/>
              </w:rPr>
              <w:t xml:space="preserve"> Pump Station: Construction of Clear View Fencing – change of submersible pump to self-priming pump</w:t>
            </w:r>
          </w:p>
        </w:tc>
        <w:tc>
          <w:tcPr>
            <w:tcW w:w="855" w:type="dxa"/>
            <w:vAlign w:val="center"/>
          </w:tcPr>
          <w:p w:rsidR="00C91CBB" w:rsidRPr="004F67C2" w:rsidRDefault="00C91CBB" w:rsidP="006C24B6">
            <w:pPr>
              <w:autoSpaceDE w:val="0"/>
              <w:autoSpaceDN w:val="0"/>
              <w:adjustRightInd w:val="0"/>
              <w:jc w:val="center"/>
              <w:rPr>
                <w:sz w:val="18"/>
                <w:szCs w:val="18"/>
              </w:rPr>
            </w:pPr>
            <w:r w:rsidRPr="004F67C2">
              <w:rPr>
                <w:sz w:val="18"/>
                <w:szCs w:val="18"/>
              </w:rPr>
              <w:t>3</w:t>
            </w:r>
          </w:p>
        </w:tc>
        <w:tc>
          <w:tcPr>
            <w:tcW w:w="1250" w:type="dxa"/>
            <w:vMerge/>
          </w:tcPr>
          <w:p w:rsidR="00C91CBB" w:rsidRPr="004F67C2" w:rsidRDefault="00C91CBB" w:rsidP="006C24B6"/>
        </w:tc>
        <w:tc>
          <w:tcPr>
            <w:tcW w:w="1065" w:type="dxa"/>
            <w:vMerge/>
          </w:tcPr>
          <w:p w:rsidR="00C91CBB" w:rsidRPr="004F67C2" w:rsidRDefault="00C91CBB" w:rsidP="006C24B6"/>
        </w:tc>
      </w:tr>
      <w:tr w:rsidR="00C91CBB" w:rsidRPr="004F67C2" w:rsidTr="00377556">
        <w:trPr>
          <w:trHeight w:val="720"/>
        </w:trPr>
        <w:tc>
          <w:tcPr>
            <w:tcW w:w="964" w:type="dxa"/>
            <w:vMerge/>
          </w:tcPr>
          <w:p w:rsidR="00C91CBB" w:rsidRPr="004F67C2" w:rsidRDefault="00C91CBB" w:rsidP="006C24B6">
            <w:pPr>
              <w:autoSpaceDE w:val="0"/>
              <w:autoSpaceDN w:val="0"/>
              <w:adjustRightInd w:val="0"/>
              <w:rPr>
                <w:szCs w:val="18"/>
              </w:rPr>
            </w:pPr>
          </w:p>
        </w:tc>
        <w:tc>
          <w:tcPr>
            <w:tcW w:w="1701" w:type="dxa"/>
          </w:tcPr>
          <w:p w:rsidR="00C91CBB" w:rsidRPr="004F67C2" w:rsidRDefault="00C91CBB" w:rsidP="006C24B6">
            <w:pPr>
              <w:autoSpaceDE w:val="0"/>
              <w:autoSpaceDN w:val="0"/>
              <w:adjustRightInd w:val="0"/>
              <w:rPr>
                <w:szCs w:val="18"/>
              </w:rPr>
            </w:pPr>
            <w:r w:rsidRPr="004F67C2">
              <w:rPr>
                <w:szCs w:val="18"/>
              </w:rPr>
              <w:t xml:space="preserve">Harmony Pump Station </w:t>
            </w:r>
          </w:p>
        </w:tc>
        <w:tc>
          <w:tcPr>
            <w:tcW w:w="4982" w:type="dxa"/>
            <w:vAlign w:val="center"/>
          </w:tcPr>
          <w:p w:rsidR="00C91CBB" w:rsidRPr="004F67C2" w:rsidRDefault="00C91CBB" w:rsidP="006C24B6">
            <w:pPr>
              <w:autoSpaceDE w:val="0"/>
              <w:autoSpaceDN w:val="0"/>
              <w:adjustRightInd w:val="0"/>
              <w:rPr>
                <w:sz w:val="18"/>
                <w:szCs w:val="18"/>
              </w:rPr>
            </w:pPr>
            <w:r w:rsidRPr="004F67C2">
              <w:rPr>
                <w:sz w:val="18"/>
                <w:szCs w:val="18"/>
              </w:rPr>
              <w:t xml:space="preserve">Refurbishment &amp; Upgrade of </w:t>
            </w:r>
            <w:proofErr w:type="spellStart"/>
            <w:r w:rsidRPr="004F67C2">
              <w:rPr>
                <w:sz w:val="18"/>
                <w:szCs w:val="18"/>
              </w:rPr>
              <w:t>Bushmans</w:t>
            </w:r>
            <w:proofErr w:type="spellEnd"/>
            <w:r w:rsidRPr="004F67C2">
              <w:rPr>
                <w:sz w:val="18"/>
                <w:szCs w:val="18"/>
              </w:rPr>
              <w:t xml:space="preserve"> Pump Station: Construction of Clear View Fencing, construction of Manual Coarse Bar Screen – change of submersible pump to self-priming pump</w:t>
            </w:r>
          </w:p>
        </w:tc>
        <w:tc>
          <w:tcPr>
            <w:tcW w:w="855" w:type="dxa"/>
            <w:vAlign w:val="center"/>
          </w:tcPr>
          <w:p w:rsidR="00C91CBB" w:rsidRPr="004F67C2" w:rsidRDefault="00C91CBB" w:rsidP="006C24B6">
            <w:pPr>
              <w:autoSpaceDE w:val="0"/>
              <w:autoSpaceDN w:val="0"/>
              <w:adjustRightInd w:val="0"/>
              <w:jc w:val="center"/>
              <w:rPr>
                <w:sz w:val="18"/>
                <w:szCs w:val="18"/>
              </w:rPr>
            </w:pPr>
            <w:r w:rsidRPr="004F67C2">
              <w:rPr>
                <w:sz w:val="18"/>
                <w:szCs w:val="18"/>
              </w:rPr>
              <w:t>3</w:t>
            </w:r>
          </w:p>
        </w:tc>
        <w:tc>
          <w:tcPr>
            <w:tcW w:w="1250" w:type="dxa"/>
            <w:vMerge/>
          </w:tcPr>
          <w:p w:rsidR="00C91CBB" w:rsidRPr="004F67C2" w:rsidRDefault="00C91CBB" w:rsidP="006C24B6"/>
        </w:tc>
        <w:tc>
          <w:tcPr>
            <w:tcW w:w="1065" w:type="dxa"/>
            <w:vMerge/>
          </w:tcPr>
          <w:p w:rsidR="00C91CBB" w:rsidRPr="004F67C2" w:rsidRDefault="00C91CBB" w:rsidP="006C24B6"/>
        </w:tc>
      </w:tr>
      <w:tr w:rsidR="00C91CBB" w:rsidRPr="004F67C2" w:rsidTr="00377556">
        <w:trPr>
          <w:trHeight w:val="720"/>
        </w:trPr>
        <w:tc>
          <w:tcPr>
            <w:tcW w:w="964" w:type="dxa"/>
            <w:vMerge/>
          </w:tcPr>
          <w:p w:rsidR="00C91CBB" w:rsidRPr="004F67C2" w:rsidRDefault="00C91CBB" w:rsidP="006C24B6">
            <w:pPr>
              <w:autoSpaceDE w:val="0"/>
              <w:autoSpaceDN w:val="0"/>
              <w:adjustRightInd w:val="0"/>
              <w:rPr>
                <w:szCs w:val="18"/>
              </w:rPr>
            </w:pPr>
          </w:p>
        </w:tc>
        <w:tc>
          <w:tcPr>
            <w:tcW w:w="1701" w:type="dxa"/>
          </w:tcPr>
          <w:p w:rsidR="00C91CBB" w:rsidRPr="004F67C2" w:rsidRDefault="00C91CBB" w:rsidP="006C24B6">
            <w:pPr>
              <w:autoSpaceDE w:val="0"/>
              <w:autoSpaceDN w:val="0"/>
              <w:adjustRightInd w:val="0"/>
              <w:rPr>
                <w:szCs w:val="18"/>
              </w:rPr>
            </w:pPr>
            <w:r w:rsidRPr="004F67C2">
              <w:rPr>
                <w:szCs w:val="18"/>
              </w:rPr>
              <w:t>2</w:t>
            </w:r>
            <w:r w:rsidRPr="004F67C2">
              <w:rPr>
                <w:szCs w:val="18"/>
                <w:vertAlign w:val="superscript"/>
              </w:rPr>
              <w:t>nd</w:t>
            </w:r>
            <w:r w:rsidRPr="004F67C2">
              <w:rPr>
                <w:szCs w:val="18"/>
              </w:rPr>
              <w:t xml:space="preserve"> Avenue Small Dam</w:t>
            </w:r>
          </w:p>
        </w:tc>
        <w:tc>
          <w:tcPr>
            <w:tcW w:w="4982" w:type="dxa"/>
            <w:vAlign w:val="center"/>
          </w:tcPr>
          <w:p w:rsidR="00C91CBB" w:rsidRPr="004F67C2" w:rsidRDefault="00C91CBB" w:rsidP="006C24B6">
            <w:pPr>
              <w:autoSpaceDE w:val="0"/>
              <w:autoSpaceDN w:val="0"/>
              <w:adjustRightInd w:val="0"/>
              <w:rPr>
                <w:sz w:val="18"/>
                <w:szCs w:val="18"/>
              </w:rPr>
            </w:pPr>
            <w:r w:rsidRPr="004F67C2">
              <w:rPr>
                <w:sz w:val="18"/>
                <w:szCs w:val="18"/>
              </w:rPr>
              <w:t xml:space="preserve">Refurbishment &amp; Upgrade of </w:t>
            </w:r>
            <w:proofErr w:type="spellStart"/>
            <w:r w:rsidRPr="004F67C2">
              <w:rPr>
                <w:sz w:val="18"/>
                <w:szCs w:val="18"/>
              </w:rPr>
              <w:t>Bushmans</w:t>
            </w:r>
            <w:proofErr w:type="spellEnd"/>
            <w:r w:rsidRPr="004F67C2">
              <w:rPr>
                <w:sz w:val="18"/>
                <w:szCs w:val="18"/>
              </w:rPr>
              <w:t xml:space="preserve"> Pump Station: Construction of Clear View Fencing l – change of submersible pump to self-priming pump</w:t>
            </w:r>
          </w:p>
        </w:tc>
        <w:tc>
          <w:tcPr>
            <w:tcW w:w="855" w:type="dxa"/>
            <w:vAlign w:val="center"/>
          </w:tcPr>
          <w:p w:rsidR="00C91CBB" w:rsidRPr="004F67C2" w:rsidRDefault="00C91CBB" w:rsidP="006C24B6">
            <w:pPr>
              <w:autoSpaceDE w:val="0"/>
              <w:autoSpaceDN w:val="0"/>
              <w:adjustRightInd w:val="0"/>
              <w:jc w:val="center"/>
              <w:rPr>
                <w:sz w:val="18"/>
                <w:szCs w:val="18"/>
              </w:rPr>
            </w:pPr>
            <w:r w:rsidRPr="004F67C2">
              <w:rPr>
                <w:sz w:val="18"/>
                <w:szCs w:val="18"/>
              </w:rPr>
              <w:t>3</w:t>
            </w:r>
          </w:p>
        </w:tc>
        <w:tc>
          <w:tcPr>
            <w:tcW w:w="1250" w:type="dxa"/>
            <w:vMerge/>
          </w:tcPr>
          <w:p w:rsidR="00C91CBB" w:rsidRPr="004F67C2" w:rsidRDefault="00C91CBB" w:rsidP="006C24B6"/>
        </w:tc>
        <w:tc>
          <w:tcPr>
            <w:tcW w:w="1065" w:type="dxa"/>
            <w:vMerge/>
          </w:tcPr>
          <w:p w:rsidR="00C91CBB" w:rsidRPr="004F67C2" w:rsidRDefault="00C91CBB" w:rsidP="006C24B6"/>
        </w:tc>
      </w:tr>
      <w:tr w:rsidR="00C91CBB" w:rsidRPr="004F67C2" w:rsidTr="00377556">
        <w:trPr>
          <w:trHeight w:val="720"/>
        </w:trPr>
        <w:tc>
          <w:tcPr>
            <w:tcW w:w="964" w:type="dxa"/>
            <w:vMerge w:val="restart"/>
          </w:tcPr>
          <w:p w:rsidR="00C91CBB" w:rsidRDefault="00C91CBB" w:rsidP="006C24B6">
            <w:pPr>
              <w:autoSpaceDE w:val="0"/>
              <w:autoSpaceDN w:val="0"/>
              <w:adjustRightInd w:val="0"/>
              <w:rPr>
                <w:szCs w:val="18"/>
              </w:rPr>
            </w:pPr>
          </w:p>
          <w:p w:rsidR="00C91CBB" w:rsidRDefault="00C91CBB" w:rsidP="006C24B6">
            <w:pPr>
              <w:autoSpaceDE w:val="0"/>
              <w:autoSpaceDN w:val="0"/>
              <w:adjustRightInd w:val="0"/>
              <w:rPr>
                <w:szCs w:val="18"/>
              </w:rPr>
            </w:pPr>
          </w:p>
          <w:p w:rsidR="00C91CBB" w:rsidRDefault="00C91CBB" w:rsidP="00C91CBB">
            <w:pPr>
              <w:autoSpaceDE w:val="0"/>
              <w:autoSpaceDN w:val="0"/>
              <w:adjustRightInd w:val="0"/>
              <w:jc w:val="center"/>
              <w:rPr>
                <w:szCs w:val="18"/>
              </w:rPr>
            </w:pPr>
          </w:p>
          <w:p w:rsidR="00C91CBB" w:rsidRDefault="00C91CBB" w:rsidP="00C91CBB">
            <w:pPr>
              <w:autoSpaceDE w:val="0"/>
              <w:autoSpaceDN w:val="0"/>
              <w:adjustRightInd w:val="0"/>
              <w:jc w:val="center"/>
              <w:rPr>
                <w:szCs w:val="18"/>
              </w:rPr>
            </w:pPr>
          </w:p>
          <w:p w:rsidR="00C91CBB" w:rsidRDefault="00C91CBB" w:rsidP="00C91CBB">
            <w:pPr>
              <w:autoSpaceDE w:val="0"/>
              <w:autoSpaceDN w:val="0"/>
              <w:adjustRightInd w:val="0"/>
              <w:jc w:val="center"/>
              <w:rPr>
                <w:szCs w:val="18"/>
              </w:rPr>
            </w:pPr>
          </w:p>
          <w:p w:rsidR="00C91CBB" w:rsidRDefault="00C91CBB" w:rsidP="00C91CBB">
            <w:pPr>
              <w:autoSpaceDE w:val="0"/>
              <w:autoSpaceDN w:val="0"/>
              <w:adjustRightInd w:val="0"/>
              <w:jc w:val="center"/>
              <w:rPr>
                <w:szCs w:val="18"/>
              </w:rPr>
            </w:pPr>
          </w:p>
          <w:p w:rsidR="00C91CBB" w:rsidRDefault="00C91CBB" w:rsidP="00C91CBB">
            <w:pPr>
              <w:autoSpaceDE w:val="0"/>
              <w:autoSpaceDN w:val="0"/>
              <w:adjustRightInd w:val="0"/>
              <w:jc w:val="center"/>
              <w:rPr>
                <w:szCs w:val="18"/>
              </w:rPr>
            </w:pPr>
          </w:p>
          <w:p w:rsidR="00C91CBB" w:rsidRPr="004F67C2" w:rsidRDefault="00C91CBB" w:rsidP="00C91CBB">
            <w:pPr>
              <w:autoSpaceDE w:val="0"/>
              <w:autoSpaceDN w:val="0"/>
              <w:adjustRightInd w:val="0"/>
              <w:jc w:val="center"/>
              <w:rPr>
                <w:szCs w:val="18"/>
              </w:rPr>
            </w:pPr>
            <w:r>
              <w:rPr>
                <w:szCs w:val="18"/>
              </w:rPr>
              <w:t>3</w:t>
            </w:r>
          </w:p>
        </w:tc>
        <w:tc>
          <w:tcPr>
            <w:tcW w:w="1701" w:type="dxa"/>
          </w:tcPr>
          <w:p w:rsidR="00C91CBB" w:rsidRPr="004F67C2" w:rsidRDefault="00C91CBB" w:rsidP="006C24B6">
            <w:pPr>
              <w:autoSpaceDE w:val="0"/>
              <w:autoSpaceDN w:val="0"/>
              <w:adjustRightInd w:val="0"/>
              <w:rPr>
                <w:szCs w:val="18"/>
              </w:rPr>
            </w:pPr>
            <w:proofErr w:type="spellStart"/>
            <w:r w:rsidRPr="004F67C2">
              <w:rPr>
                <w:szCs w:val="18"/>
              </w:rPr>
              <w:t>Halloway</w:t>
            </w:r>
            <w:proofErr w:type="spellEnd"/>
            <w:r w:rsidRPr="004F67C2">
              <w:rPr>
                <w:szCs w:val="18"/>
              </w:rPr>
              <w:t xml:space="preserve"> Pump Station</w:t>
            </w:r>
          </w:p>
        </w:tc>
        <w:tc>
          <w:tcPr>
            <w:tcW w:w="4982" w:type="dxa"/>
            <w:vAlign w:val="center"/>
          </w:tcPr>
          <w:p w:rsidR="00C91CBB" w:rsidRPr="004F67C2" w:rsidRDefault="00C91CBB" w:rsidP="006C24B6">
            <w:pPr>
              <w:autoSpaceDE w:val="0"/>
              <w:autoSpaceDN w:val="0"/>
              <w:adjustRightInd w:val="0"/>
              <w:rPr>
                <w:sz w:val="18"/>
                <w:szCs w:val="18"/>
              </w:rPr>
            </w:pPr>
            <w:r w:rsidRPr="004F67C2">
              <w:rPr>
                <w:sz w:val="18"/>
                <w:szCs w:val="18"/>
              </w:rPr>
              <w:t xml:space="preserve">Refurbishment &amp; Upgrade of Port Alfred Pump Station: Construction of Clear View Fencing, Overflow Sump, Manual Coarse Bar Screen – change of submersible pump to self-priming pump and </w:t>
            </w:r>
            <w:proofErr w:type="spellStart"/>
            <w:r w:rsidRPr="004F67C2">
              <w:rPr>
                <w:sz w:val="18"/>
                <w:szCs w:val="18"/>
              </w:rPr>
              <w:t>Stormwater</w:t>
            </w:r>
            <w:proofErr w:type="spellEnd"/>
            <w:r w:rsidRPr="004F67C2">
              <w:rPr>
                <w:sz w:val="18"/>
                <w:szCs w:val="18"/>
              </w:rPr>
              <w:t xml:space="preserve"> Control </w:t>
            </w:r>
          </w:p>
        </w:tc>
        <w:tc>
          <w:tcPr>
            <w:tcW w:w="855" w:type="dxa"/>
            <w:vAlign w:val="center"/>
          </w:tcPr>
          <w:p w:rsidR="00C91CBB" w:rsidRPr="004F67C2" w:rsidRDefault="00C91CBB" w:rsidP="006C24B6">
            <w:pPr>
              <w:autoSpaceDE w:val="0"/>
              <w:autoSpaceDN w:val="0"/>
              <w:adjustRightInd w:val="0"/>
              <w:jc w:val="center"/>
              <w:rPr>
                <w:sz w:val="18"/>
                <w:szCs w:val="18"/>
              </w:rPr>
            </w:pPr>
            <w:r w:rsidRPr="004F67C2">
              <w:rPr>
                <w:sz w:val="18"/>
                <w:szCs w:val="18"/>
              </w:rPr>
              <w:t>10</w:t>
            </w:r>
          </w:p>
        </w:tc>
        <w:tc>
          <w:tcPr>
            <w:tcW w:w="1250" w:type="dxa"/>
            <w:vMerge/>
          </w:tcPr>
          <w:p w:rsidR="00C91CBB" w:rsidRPr="004F67C2" w:rsidRDefault="00C91CBB" w:rsidP="006C24B6"/>
        </w:tc>
        <w:tc>
          <w:tcPr>
            <w:tcW w:w="1065" w:type="dxa"/>
            <w:vMerge/>
          </w:tcPr>
          <w:p w:rsidR="00C91CBB" w:rsidRPr="004F67C2" w:rsidRDefault="00C91CBB" w:rsidP="006C24B6"/>
        </w:tc>
      </w:tr>
      <w:tr w:rsidR="00C91CBB" w:rsidRPr="004F67C2" w:rsidTr="00377556">
        <w:trPr>
          <w:trHeight w:val="534"/>
        </w:trPr>
        <w:tc>
          <w:tcPr>
            <w:tcW w:w="964" w:type="dxa"/>
            <w:vMerge/>
          </w:tcPr>
          <w:p w:rsidR="00C91CBB" w:rsidRPr="004F67C2" w:rsidRDefault="00C91CBB" w:rsidP="00C91CBB">
            <w:pPr>
              <w:autoSpaceDE w:val="0"/>
              <w:autoSpaceDN w:val="0"/>
              <w:adjustRightInd w:val="0"/>
              <w:jc w:val="center"/>
              <w:rPr>
                <w:szCs w:val="18"/>
              </w:rPr>
            </w:pPr>
          </w:p>
        </w:tc>
        <w:tc>
          <w:tcPr>
            <w:tcW w:w="1701" w:type="dxa"/>
          </w:tcPr>
          <w:p w:rsidR="00C91CBB" w:rsidRPr="004F67C2" w:rsidRDefault="00C91CBB" w:rsidP="006C24B6">
            <w:pPr>
              <w:autoSpaceDE w:val="0"/>
              <w:autoSpaceDN w:val="0"/>
              <w:adjustRightInd w:val="0"/>
              <w:rPr>
                <w:szCs w:val="18"/>
              </w:rPr>
            </w:pPr>
            <w:r w:rsidRPr="004F67C2">
              <w:rPr>
                <w:szCs w:val="18"/>
              </w:rPr>
              <w:t xml:space="preserve">Wharf Street </w:t>
            </w:r>
          </w:p>
          <w:p w:rsidR="00C91CBB" w:rsidRPr="004F67C2" w:rsidRDefault="00C91CBB" w:rsidP="006C24B6">
            <w:pPr>
              <w:autoSpaceDE w:val="0"/>
              <w:autoSpaceDN w:val="0"/>
              <w:adjustRightInd w:val="0"/>
              <w:rPr>
                <w:szCs w:val="18"/>
              </w:rPr>
            </w:pPr>
            <w:r w:rsidRPr="004F67C2">
              <w:rPr>
                <w:szCs w:val="18"/>
              </w:rPr>
              <w:t>Pump Station</w:t>
            </w:r>
          </w:p>
        </w:tc>
        <w:tc>
          <w:tcPr>
            <w:tcW w:w="4982" w:type="dxa"/>
            <w:vAlign w:val="center"/>
          </w:tcPr>
          <w:p w:rsidR="00C91CBB" w:rsidRPr="004F67C2" w:rsidRDefault="00C91CBB" w:rsidP="006C24B6">
            <w:pPr>
              <w:autoSpaceDE w:val="0"/>
              <w:autoSpaceDN w:val="0"/>
              <w:adjustRightInd w:val="0"/>
              <w:rPr>
                <w:sz w:val="18"/>
                <w:szCs w:val="18"/>
              </w:rPr>
            </w:pPr>
            <w:r w:rsidRPr="004F67C2">
              <w:rPr>
                <w:sz w:val="18"/>
                <w:szCs w:val="18"/>
              </w:rPr>
              <w:t xml:space="preserve">Refurbishment &amp; Upgrade of Port Alfred Pump Station: Construction of Clear View and Fencing </w:t>
            </w:r>
          </w:p>
        </w:tc>
        <w:tc>
          <w:tcPr>
            <w:tcW w:w="855" w:type="dxa"/>
            <w:vAlign w:val="center"/>
          </w:tcPr>
          <w:p w:rsidR="00C91CBB" w:rsidRPr="004F67C2" w:rsidRDefault="00C91CBB" w:rsidP="006C24B6">
            <w:pPr>
              <w:autoSpaceDE w:val="0"/>
              <w:autoSpaceDN w:val="0"/>
              <w:adjustRightInd w:val="0"/>
              <w:jc w:val="center"/>
              <w:rPr>
                <w:sz w:val="18"/>
                <w:szCs w:val="18"/>
              </w:rPr>
            </w:pPr>
            <w:r w:rsidRPr="004F67C2">
              <w:rPr>
                <w:sz w:val="18"/>
                <w:szCs w:val="18"/>
              </w:rPr>
              <w:t>10</w:t>
            </w:r>
          </w:p>
        </w:tc>
        <w:tc>
          <w:tcPr>
            <w:tcW w:w="1250" w:type="dxa"/>
            <w:vMerge/>
          </w:tcPr>
          <w:p w:rsidR="00C91CBB" w:rsidRPr="004F67C2" w:rsidRDefault="00C91CBB" w:rsidP="006C24B6"/>
        </w:tc>
        <w:tc>
          <w:tcPr>
            <w:tcW w:w="1065" w:type="dxa"/>
            <w:vMerge/>
          </w:tcPr>
          <w:p w:rsidR="00C91CBB" w:rsidRPr="004F67C2" w:rsidRDefault="00C91CBB" w:rsidP="006C24B6"/>
        </w:tc>
      </w:tr>
      <w:tr w:rsidR="00C91CBB" w:rsidRPr="004F67C2" w:rsidTr="00377556">
        <w:trPr>
          <w:trHeight w:val="720"/>
        </w:trPr>
        <w:tc>
          <w:tcPr>
            <w:tcW w:w="964" w:type="dxa"/>
            <w:vMerge/>
          </w:tcPr>
          <w:p w:rsidR="00C91CBB" w:rsidRPr="004F67C2" w:rsidRDefault="00C91CBB" w:rsidP="006C24B6">
            <w:pPr>
              <w:autoSpaceDE w:val="0"/>
              <w:autoSpaceDN w:val="0"/>
              <w:adjustRightInd w:val="0"/>
              <w:rPr>
                <w:szCs w:val="18"/>
              </w:rPr>
            </w:pPr>
          </w:p>
        </w:tc>
        <w:tc>
          <w:tcPr>
            <w:tcW w:w="1701" w:type="dxa"/>
          </w:tcPr>
          <w:p w:rsidR="00C91CBB" w:rsidRPr="004F67C2" w:rsidRDefault="00C91CBB" w:rsidP="006C24B6">
            <w:pPr>
              <w:autoSpaceDE w:val="0"/>
              <w:autoSpaceDN w:val="0"/>
              <w:adjustRightInd w:val="0"/>
              <w:rPr>
                <w:szCs w:val="18"/>
              </w:rPr>
            </w:pPr>
            <w:r w:rsidRPr="004F67C2">
              <w:rPr>
                <w:szCs w:val="18"/>
              </w:rPr>
              <w:t xml:space="preserve">Main Street </w:t>
            </w:r>
          </w:p>
          <w:p w:rsidR="00C91CBB" w:rsidRPr="004F67C2" w:rsidRDefault="00C91CBB" w:rsidP="006C24B6">
            <w:pPr>
              <w:autoSpaceDE w:val="0"/>
              <w:autoSpaceDN w:val="0"/>
              <w:adjustRightInd w:val="0"/>
              <w:rPr>
                <w:szCs w:val="18"/>
              </w:rPr>
            </w:pPr>
            <w:r w:rsidRPr="004F67C2">
              <w:rPr>
                <w:szCs w:val="18"/>
              </w:rPr>
              <w:t>Pump Station</w:t>
            </w:r>
          </w:p>
        </w:tc>
        <w:tc>
          <w:tcPr>
            <w:tcW w:w="4982" w:type="dxa"/>
            <w:vAlign w:val="center"/>
          </w:tcPr>
          <w:p w:rsidR="00C91CBB" w:rsidRPr="004F67C2" w:rsidRDefault="00C91CBB" w:rsidP="006C24B6">
            <w:pPr>
              <w:autoSpaceDE w:val="0"/>
              <w:autoSpaceDN w:val="0"/>
              <w:adjustRightInd w:val="0"/>
              <w:rPr>
                <w:sz w:val="18"/>
                <w:szCs w:val="18"/>
              </w:rPr>
            </w:pPr>
            <w:r w:rsidRPr="004F67C2">
              <w:rPr>
                <w:sz w:val="18"/>
                <w:szCs w:val="18"/>
              </w:rPr>
              <w:t xml:space="preserve">Refurbishment &amp; Upgrade of Port Alfred Pump Station: Construction of Clear View and Fencing </w:t>
            </w:r>
          </w:p>
        </w:tc>
        <w:tc>
          <w:tcPr>
            <w:tcW w:w="855" w:type="dxa"/>
            <w:vAlign w:val="center"/>
          </w:tcPr>
          <w:p w:rsidR="00C91CBB" w:rsidRPr="004F67C2" w:rsidRDefault="00C91CBB" w:rsidP="006C24B6">
            <w:pPr>
              <w:autoSpaceDE w:val="0"/>
              <w:autoSpaceDN w:val="0"/>
              <w:adjustRightInd w:val="0"/>
              <w:jc w:val="center"/>
              <w:rPr>
                <w:sz w:val="18"/>
                <w:szCs w:val="18"/>
              </w:rPr>
            </w:pPr>
            <w:r w:rsidRPr="004F67C2">
              <w:rPr>
                <w:sz w:val="18"/>
                <w:szCs w:val="18"/>
              </w:rPr>
              <w:t>10</w:t>
            </w:r>
          </w:p>
        </w:tc>
        <w:tc>
          <w:tcPr>
            <w:tcW w:w="1250" w:type="dxa"/>
            <w:vMerge/>
          </w:tcPr>
          <w:p w:rsidR="00C91CBB" w:rsidRPr="004F67C2" w:rsidRDefault="00C91CBB" w:rsidP="006C24B6"/>
        </w:tc>
        <w:tc>
          <w:tcPr>
            <w:tcW w:w="1065" w:type="dxa"/>
            <w:vMerge/>
          </w:tcPr>
          <w:p w:rsidR="00C91CBB" w:rsidRPr="004F67C2" w:rsidRDefault="00C91CBB" w:rsidP="006C24B6"/>
        </w:tc>
      </w:tr>
      <w:tr w:rsidR="00C91CBB" w:rsidRPr="004F67C2" w:rsidTr="00377556">
        <w:trPr>
          <w:trHeight w:val="720"/>
        </w:trPr>
        <w:tc>
          <w:tcPr>
            <w:tcW w:w="964" w:type="dxa"/>
            <w:vMerge/>
          </w:tcPr>
          <w:p w:rsidR="00C91CBB" w:rsidRPr="004F67C2" w:rsidRDefault="00C91CBB" w:rsidP="006C24B6">
            <w:pPr>
              <w:autoSpaceDE w:val="0"/>
              <w:autoSpaceDN w:val="0"/>
              <w:adjustRightInd w:val="0"/>
              <w:rPr>
                <w:szCs w:val="18"/>
              </w:rPr>
            </w:pPr>
          </w:p>
        </w:tc>
        <w:tc>
          <w:tcPr>
            <w:tcW w:w="1701" w:type="dxa"/>
          </w:tcPr>
          <w:p w:rsidR="00C91CBB" w:rsidRPr="004F67C2" w:rsidRDefault="00C91CBB" w:rsidP="006C24B6">
            <w:pPr>
              <w:autoSpaceDE w:val="0"/>
              <w:autoSpaceDN w:val="0"/>
              <w:adjustRightInd w:val="0"/>
              <w:rPr>
                <w:szCs w:val="18"/>
              </w:rPr>
            </w:pPr>
            <w:r w:rsidRPr="004F67C2">
              <w:rPr>
                <w:szCs w:val="18"/>
              </w:rPr>
              <w:t>Little Beach Pump Station</w:t>
            </w:r>
          </w:p>
        </w:tc>
        <w:tc>
          <w:tcPr>
            <w:tcW w:w="4982" w:type="dxa"/>
            <w:vAlign w:val="center"/>
          </w:tcPr>
          <w:p w:rsidR="00C91CBB" w:rsidRPr="004F67C2" w:rsidRDefault="00C91CBB" w:rsidP="006C24B6">
            <w:pPr>
              <w:autoSpaceDE w:val="0"/>
              <w:autoSpaceDN w:val="0"/>
              <w:adjustRightInd w:val="0"/>
              <w:rPr>
                <w:sz w:val="18"/>
                <w:szCs w:val="18"/>
              </w:rPr>
            </w:pPr>
            <w:r w:rsidRPr="004F67C2">
              <w:rPr>
                <w:sz w:val="18"/>
                <w:szCs w:val="18"/>
              </w:rPr>
              <w:t>Refurbishment &amp; Upgrade of Port Alfred Pump Station: Construction of Clear View and Fencing and Mechanical &amp; Electrical Repairs</w:t>
            </w:r>
          </w:p>
        </w:tc>
        <w:tc>
          <w:tcPr>
            <w:tcW w:w="855" w:type="dxa"/>
            <w:vAlign w:val="center"/>
          </w:tcPr>
          <w:p w:rsidR="00C91CBB" w:rsidRPr="004F67C2" w:rsidRDefault="00C91CBB" w:rsidP="006C24B6">
            <w:pPr>
              <w:autoSpaceDE w:val="0"/>
              <w:autoSpaceDN w:val="0"/>
              <w:adjustRightInd w:val="0"/>
              <w:jc w:val="center"/>
              <w:rPr>
                <w:sz w:val="18"/>
                <w:szCs w:val="18"/>
              </w:rPr>
            </w:pPr>
            <w:r w:rsidRPr="004F67C2">
              <w:rPr>
                <w:sz w:val="18"/>
                <w:szCs w:val="18"/>
              </w:rPr>
              <w:t>10</w:t>
            </w:r>
          </w:p>
        </w:tc>
        <w:tc>
          <w:tcPr>
            <w:tcW w:w="1250" w:type="dxa"/>
            <w:vMerge/>
          </w:tcPr>
          <w:p w:rsidR="00C91CBB" w:rsidRPr="004F67C2" w:rsidRDefault="00C91CBB" w:rsidP="006C24B6"/>
        </w:tc>
        <w:tc>
          <w:tcPr>
            <w:tcW w:w="1065" w:type="dxa"/>
            <w:vMerge/>
          </w:tcPr>
          <w:p w:rsidR="00C91CBB" w:rsidRPr="004F67C2" w:rsidRDefault="00C91CBB" w:rsidP="006C24B6"/>
        </w:tc>
      </w:tr>
      <w:tr w:rsidR="00C91CBB" w:rsidRPr="004F67C2" w:rsidTr="00377556">
        <w:trPr>
          <w:trHeight w:val="720"/>
        </w:trPr>
        <w:tc>
          <w:tcPr>
            <w:tcW w:w="964" w:type="dxa"/>
            <w:vMerge/>
          </w:tcPr>
          <w:p w:rsidR="00C91CBB" w:rsidRPr="004F67C2" w:rsidRDefault="00C91CBB" w:rsidP="006C24B6">
            <w:pPr>
              <w:autoSpaceDE w:val="0"/>
              <w:autoSpaceDN w:val="0"/>
              <w:adjustRightInd w:val="0"/>
              <w:rPr>
                <w:szCs w:val="18"/>
              </w:rPr>
            </w:pPr>
          </w:p>
        </w:tc>
        <w:tc>
          <w:tcPr>
            <w:tcW w:w="1701" w:type="dxa"/>
          </w:tcPr>
          <w:p w:rsidR="00C91CBB" w:rsidRPr="004F67C2" w:rsidRDefault="00C91CBB" w:rsidP="006C24B6">
            <w:pPr>
              <w:autoSpaceDE w:val="0"/>
              <w:autoSpaceDN w:val="0"/>
              <w:adjustRightInd w:val="0"/>
              <w:rPr>
                <w:szCs w:val="18"/>
              </w:rPr>
            </w:pPr>
            <w:r w:rsidRPr="004F67C2">
              <w:rPr>
                <w:szCs w:val="18"/>
              </w:rPr>
              <w:t>Sunnydale Pump Station</w:t>
            </w:r>
          </w:p>
        </w:tc>
        <w:tc>
          <w:tcPr>
            <w:tcW w:w="4982" w:type="dxa"/>
            <w:vAlign w:val="center"/>
          </w:tcPr>
          <w:p w:rsidR="00C91CBB" w:rsidRPr="004F67C2" w:rsidRDefault="00C91CBB" w:rsidP="006C24B6">
            <w:pPr>
              <w:autoSpaceDE w:val="0"/>
              <w:autoSpaceDN w:val="0"/>
              <w:adjustRightInd w:val="0"/>
              <w:rPr>
                <w:sz w:val="18"/>
                <w:szCs w:val="18"/>
              </w:rPr>
            </w:pPr>
            <w:r w:rsidRPr="004F67C2">
              <w:rPr>
                <w:sz w:val="18"/>
                <w:szCs w:val="18"/>
              </w:rPr>
              <w:t xml:space="preserve">Refurbishment &amp; Upgrade of Port Alfred Pump Station: Construction of Clear View Fencing, Pump House – change of submersible pump to self-priming pump and </w:t>
            </w:r>
            <w:proofErr w:type="spellStart"/>
            <w:r w:rsidRPr="004F67C2">
              <w:rPr>
                <w:sz w:val="18"/>
                <w:szCs w:val="18"/>
              </w:rPr>
              <w:t>Stormwater</w:t>
            </w:r>
            <w:proofErr w:type="spellEnd"/>
            <w:r w:rsidRPr="004F67C2">
              <w:rPr>
                <w:sz w:val="18"/>
                <w:szCs w:val="18"/>
              </w:rPr>
              <w:t xml:space="preserve"> Control </w:t>
            </w:r>
          </w:p>
        </w:tc>
        <w:tc>
          <w:tcPr>
            <w:tcW w:w="855" w:type="dxa"/>
            <w:vAlign w:val="center"/>
          </w:tcPr>
          <w:p w:rsidR="00C91CBB" w:rsidRPr="004F67C2" w:rsidRDefault="00C91CBB" w:rsidP="006C24B6">
            <w:pPr>
              <w:autoSpaceDE w:val="0"/>
              <w:autoSpaceDN w:val="0"/>
              <w:adjustRightInd w:val="0"/>
              <w:jc w:val="center"/>
              <w:rPr>
                <w:sz w:val="18"/>
                <w:szCs w:val="18"/>
              </w:rPr>
            </w:pPr>
            <w:r w:rsidRPr="004F67C2">
              <w:rPr>
                <w:sz w:val="18"/>
                <w:szCs w:val="18"/>
              </w:rPr>
              <w:t>10</w:t>
            </w:r>
          </w:p>
        </w:tc>
        <w:tc>
          <w:tcPr>
            <w:tcW w:w="1250" w:type="dxa"/>
            <w:vMerge/>
          </w:tcPr>
          <w:p w:rsidR="00C91CBB" w:rsidRPr="004F67C2" w:rsidRDefault="00C91CBB" w:rsidP="006C24B6"/>
        </w:tc>
        <w:tc>
          <w:tcPr>
            <w:tcW w:w="1065" w:type="dxa"/>
            <w:vMerge/>
          </w:tcPr>
          <w:p w:rsidR="00C91CBB" w:rsidRPr="004F67C2" w:rsidRDefault="00C91CBB" w:rsidP="006C24B6"/>
        </w:tc>
      </w:tr>
    </w:tbl>
    <w:p w:rsidR="00E65304" w:rsidRDefault="00961079" w:rsidP="00961079">
      <w:pPr>
        <w:autoSpaceDE w:val="0"/>
        <w:autoSpaceDN w:val="0"/>
        <w:adjustRightInd w:val="0"/>
        <w:spacing w:before="120"/>
        <w:jc w:val="both"/>
      </w:pPr>
      <w:r w:rsidRPr="00E12D77">
        <w:t>Only Tenderers with a Construction Industry Development Board (CIDB) minimum grading as indicated above will be eligible to tender.</w:t>
      </w:r>
    </w:p>
    <w:p w:rsidR="00E65304" w:rsidRPr="00E65304" w:rsidRDefault="00961079" w:rsidP="00961079">
      <w:pPr>
        <w:autoSpaceDE w:val="0"/>
        <w:autoSpaceDN w:val="0"/>
        <w:adjustRightInd w:val="0"/>
        <w:spacing w:before="120"/>
        <w:jc w:val="both"/>
      </w:pPr>
      <w:r w:rsidRPr="00961079">
        <w:rPr>
          <w:b/>
          <w:sz w:val="18"/>
          <w:szCs w:val="18"/>
        </w:rPr>
        <w:t xml:space="preserve">PLEASE NOTE: </w:t>
      </w:r>
      <w:r>
        <w:rPr>
          <w:b/>
          <w:sz w:val="18"/>
          <w:szCs w:val="18"/>
        </w:rPr>
        <w:t xml:space="preserve">Service providers </w:t>
      </w:r>
      <w:r w:rsidR="004264CE" w:rsidRPr="00961079">
        <w:rPr>
          <w:b/>
          <w:sz w:val="18"/>
          <w:szCs w:val="18"/>
        </w:rPr>
        <w:t>for the provision of Mechanical &amp; Electrical Services will need a specialized contractor a</w:t>
      </w:r>
      <w:r w:rsidR="005F1F99" w:rsidRPr="00961079">
        <w:rPr>
          <w:b/>
          <w:sz w:val="18"/>
          <w:szCs w:val="18"/>
        </w:rPr>
        <w:t>nd</w:t>
      </w:r>
      <w:r>
        <w:rPr>
          <w:b/>
          <w:sz w:val="18"/>
          <w:szCs w:val="18"/>
        </w:rPr>
        <w:t xml:space="preserve"> who will be able </w:t>
      </w:r>
      <w:r w:rsidRPr="00961079">
        <w:rPr>
          <w:b/>
          <w:sz w:val="18"/>
          <w:szCs w:val="18"/>
        </w:rPr>
        <w:t>to</w:t>
      </w:r>
      <w:r w:rsidR="005F1F99" w:rsidRPr="00961079">
        <w:rPr>
          <w:b/>
          <w:sz w:val="18"/>
          <w:szCs w:val="18"/>
        </w:rPr>
        <w:t xml:space="preserve"> supply</w:t>
      </w:r>
      <w:r w:rsidR="004264CE" w:rsidRPr="00961079">
        <w:rPr>
          <w:b/>
          <w:sz w:val="18"/>
          <w:szCs w:val="18"/>
        </w:rPr>
        <w:t xml:space="preserve"> with the Professional Certificate</w:t>
      </w:r>
      <w:r>
        <w:rPr>
          <w:b/>
          <w:sz w:val="18"/>
          <w:szCs w:val="18"/>
        </w:rPr>
        <w:t xml:space="preserve"> of Installation on completion.</w:t>
      </w:r>
    </w:p>
    <w:p w:rsidR="00961079" w:rsidRPr="00E65304" w:rsidRDefault="00961079" w:rsidP="00961079">
      <w:pPr>
        <w:autoSpaceDE w:val="0"/>
        <w:autoSpaceDN w:val="0"/>
        <w:adjustRightInd w:val="0"/>
        <w:spacing w:before="120"/>
        <w:jc w:val="both"/>
        <w:rPr>
          <w:b/>
          <w:sz w:val="18"/>
          <w:szCs w:val="18"/>
        </w:rPr>
      </w:pPr>
      <w:r w:rsidRPr="00E12D77">
        <w:rPr>
          <w:rFonts w:eastAsia="Calibri"/>
          <w:b/>
          <w:lang w:val="en-GB"/>
        </w:rPr>
        <w:t>Tender documents</w:t>
      </w:r>
      <w:r w:rsidRPr="00E12D77">
        <w:rPr>
          <w:rFonts w:eastAsia="Calibri"/>
          <w:lang w:val="en-GB"/>
        </w:rPr>
        <w:t xml:space="preserve"> may be collected from </w:t>
      </w:r>
      <w:proofErr w:type="spellStart"/>
      <w:r w:rsidRPr="00E12D77">
        <w:rPr>
          <w:rFonts w:eastAsia="Calibri"/>
          <w:b/>
          <w:lang w:val="en-GB"/>
        </w:rPr>
        <w:t>Ndlambe</w:t>
      </w:r>
      <w:proofErr w:type="spellEnd"/>
      <w:r w:rsidRPr="00E12D77">
        <w:rPr>
          <w:rFonts w:eastAsia="Calibri"/>
          <w:b/>
          <w:lang w:val="en-GB"/>
        </w:rPr>
        <w:t xml:space="preserve"> Supply Chain Offices</w:t>
      </w:r>
      <w:r w:rsidRPr="00E12D77">
        <w:rPr>
          <w:rFonts w:eastAsia="Calibri"/>
          <w:lang w:val="en-GB"/>
        </w:rPr>
        <w:t xml:space="preserve">, 44 Campbell Street, Port Alfred, 6170, from </w:t>
      </w:r>
      <w:r w:rsidRPr="00E12D77">
        <w:rPr>
          <w:rFonts w:eastAsia="Calibri"/>
          <w:b/>
          <w:lang w:val="en-GB"/>
        </w:rPr>
        <w:t>13 August 2020</w:t>
      </w:r>
      <w:r w:rsidRPr="00E12D77">
        <w:rPr>
          <w:rFonts w:eastAsia="Calibri"/>
          <w:lang w:val="en-GB"/>
        </w:rPr>
        <w:t xml:space="preserve"> </w:t>
      </w:r>
      <w:r w:rsidRPr="00E12D77">
        <w:rPr>
          <w:rFonts w:eastAsia="Calibri"/>
          <w:b/>
          <w:lang w:val="en-GB"/>
        </w:rPr>
        <w:t>until Thursday, 27 August 2020</w:t>
      </w:r>
      <w:r w:rsidRPr="00E12D77">
        <w:rPr>
          <w:rFonts w:eastAsia="Calibri"/>
          <w:lang w:val="en-GB"/>
        </w:rPr>
        <w:t xml:space="preserve"> (Office hours 08h00 until 16h00). </w:t>
      </w:r>
      <w:r w:rsidRPr="00E12D77">
        <w:t xml:space="preserve">A non-refundable cash deposit of </w:t>
      </w:r>
      <w:r w:rsidRPr="00E12D77">
        <w:rPr>
          <w:b/>
        </w:rPr>
        <w:t>R222.60</w:t>
      </w:r>
      <w:r w:rsidRPr="00E12D77">
        <w:t xml:space="preserve"> for each document is required </w:t>
      </w:r>
      <w:r w:rsidRPr="00E12D77">
        <w:rPr>
          <w:b/>
        </w:rPr>
        <w:t xml:space="preserve">OR </w:t>
      </w:r>
      <w:r w:rsidRPr="00E12D77">
        <w:t xml:space="preserve">can be downloaded from the Municipal website at </w:t>
      </w:r>
      <w:r w:rsidRPr="00E12D77">
        <w:rPr>
          <w:b/>
        </w:rPr>
        <w:t>NOT CHARGE</w:t>
      </w:r>
      <w:r w:rsidRPr="00E12D77">
        <w:t>. Bid</w:t>
      </w:r>
      <w:r w:rsidRPr="00E12D77">
        <w:rPr>
          <w:u w:val="single"/>
        </w:rPr>
        <w:t xml:space="preserve"> Documents will only be issued on a receipt obtained from the cashier’s office at </w:t>
      </w:r>
      <w:proofErr w:type="spellStart"/>
      <w:r w:rsidRPr="00E12D77">
        <w:rPr>
          <w:u w:val="single"/>
        </w:rPr>
        <w:t>Ndlambe</w:t>
      </w:r>
      <w:proofErr w:type="spellEnd"/>
      <w:r w:rsidRPr="00E12D77">
        <w:rPr>
          <w:u w:val="single"/>
        </w:rPr>
        <w:t xml:space="preserve"> Local Municipality. A copy of payment receipt is to be attached on the document. </w:t>
      </w:r>
    </w:p>
    <w:p w:rsidR="00E65304" w:rsidRDefault="00961079" w:rsidP="00961079">
      <w:pPr>
        <w:autoSpaceDE w:val="0"/>
        <w:autoSpaceDN w:val="0"/>
        <w:adjustRightInd w:val="0"/>
        <w:spacing w:before="120"/>
        <w:jc w:val="both"/>
        <w:rPr>
          <w:lang w:val="en-GB"/>
        </w:rPr>
      </w:pPr>
      <w:r w:rsidRPr="00E12D77">
        <w:t xml:space="preserve">Due to Covid-19 </w:t>
      </w:r>
      <w:r w:rsidRPr="00E12D77">
        <w:rPr>
          <w:b/>
          <w:bCs/>
        </w:rPr>
        <w:t>NON COMPULSORY briefing session</w:t>
      </w:r>
      <w:r w:rsidRPr="00E12D77">
        <w:t xml:space="preserve"> will be held through the zoom meeting and bidders who wish to attend the tender briefing should indicate via email </w:t>
      </w:r>
      <w:r>
        <w:t xml:space="preserve">at </w:t>
      </w:r>
      <w:hyperlink r:id="rId9" w:history="1">
        <w:r w:rsidRPr="00E12D77">
          <w:rPr>
            <w:rFonts w:eastAsia="Calibri"/>
            <w:color w:val="0000FF"/>
            <w:u w:val="single"/>
            <w:lang w:val="en-GB"/>
          </w:rPr>
          <w:t>wsigprojects@ndlambe.gov.za</w:t>
        </w:r>
      </w:hyperlink>
      <w:r>
        <w:t xml:space="preserve"> </w:t>
      </w:r>
      <w:r w:rsidRPr="00E12D77">
        <w:t>and the municipality will forward them the ID for the virtual meeting</w:t>
      </w:r>
      <w:r w:rsidR="00E65304">
        <w:rPr>
          <w:lang w:val="en-GB"/>
        </w:rPr>
        <w:t>.</w:t>
      </w:r>
    </w:p>
    <w:p w:rsidR="00961079" w:rsidRPr="00E12D77" w:rsidRDefault="00961079" w:rsidP="00961079">
      <w:pPr>
        <w:autoSpaceDE w:val="0"/>
        <w:autoSpaceDN w:val="0"/>
        <w:adjustRightInd w:val="0"/>
        <w:spacing w:before="120"/>
        <w:jc w:val="both"/>
        <w:rPr>
          <w:lang w:val="en-GB"/>
        </w:rPr>
      </w:pPr>
      <w:r w:rsidRPr="00E12D77">
        <w:rPr>
          <w:lang w:val="en-GB"/>
        </w:rPr>
        <w:t>Details of the meeting are:</w:t>
      </w:r>
    </w:p>
    <w:p w:rsidR="00961079" w:rsidRPr="00E12D77" w:rsidRDefault="00961079" w:rsidP="00961079">
      <w:pPr>
        <w:numPr>
          <w:ilvl w:val="0"/>
          <w:numId w:val="1"/>
        </w:numPr>
        <w:autoSpaceDE w:val="0"/>
        <w:autoSpaceDN w:val="0"/>
        <w:adjustRightInd w:val="0"/>
        <w:contextualSpacing/>
        <w:rPr>
          <w:rFonts w:eastAsia="Calibri"/>
          <w:color w:val="000000"/>
        </w:rPr>
      </w:pPr>
      <w:r w:rsidRPr="00E12D77">
        <w:rPr>
          <w:rFonts w:eastAsia="Calibri"/>
          <w:color w:val="000000"/>
          <w:lang w:val="en-GB"/>
        </w:rPr>
        <w:t>Venue:</w:t>
      </w:r>
      <w:r w:rsidRPr="00E12D77">
        <w:rPr>
          <w:rFonts w:eastAsia="Calibri"/>
          <w:color w:val="000000"/>
          <w:lang w:val="en-GB"/>
        </w:rPr>
        <w:tab/>
      </w:r>
      <w:r w:rsidRPr="00E12D77">
        <w:rPr>
          <w:rFonts w:eastAsia="Calibri"/>
          <w:color w:val="000000"/>
        </w:rPr>
        <w:t xml:space="preserve">Join Zoom Meeting </w:t>
      </w:r>
    </w:p>
    <w:p w:rsidR="00961079" w:rsidRPr="00E12D77" w:rsidRDefault="00961079" w:rsidP="00961079">
      <w:pPr>
        <w:numPr>
          <w:ilvl w:val="0"/>
          <w:numId w:val="1"/>
        </w:numPr>
        <w:autoSpaceDE w:val="0"/>
        <w:autoSpaceDN w:val="0"/>
        <w:adjustRightInd w:val="0"/>
        <w:contextualSpacing/>
        <w:jc w:val="both"/>
        <w:rPr>
          <w:rFonts w:eastAsia="Calibri"/>
          <w:color w:val="000000"/>
          <w:lang w:val="en-GB"/>
        </w:rPr>
      </w:pPr>
      <w:r>
        <w:rPr>
          <w:rFonts w:eastAsia="Calibri"/>
          <w:color w:val="000000"/>
          <w:lang w:val="en-GB"/>
        </w:rPr>
        <w:t>Date:</w:t>
      </w:r>
      <w:r>
        <w:rPr>
          <w:rFonts w:eastAsia="Calibri"/>
          <w:color w:val="000000"/>
          <w:lang w:val="en-GB"/>
        </w:rPr>
        <w:tab/>
        <w:t>Wednesday, 19</w:t>
      </w:r>
      <w:r w:rsidRPr="00E12D77">
        <w:rPr>
          <w:rFonts w:eastAsia="Calibri"/>
          <w:color w:val="000000"/>
          <w:lang w:val="en-GB"/>
        </w:rPr>
        <w:t xml:space="preserve"> August 2020</w:t>
      </w:r>
    </w:p>
    <w:p w:rsidR="00961079" w:rsidRPr="00E12D77" w:rsidRDefault="00961079" w:rsidP="00961079">
      <w:pPr>
        <w:numPr>
          <w:ilvl w:val="0"/>
          <w:numId w:val="1"/>
        </w:numPr>
        <w:autoSpaceDE w:val="0"/>
        <w:autoSpaceDN w:val="0"/>
        <w:adjustRightInd w:val="0"/>
        <w:ind w:left="357" w:hanging="357"/>
        <w:contextualSpacing/>
        <w:jc w:val="both"/>
        <w:rPr>
          <w:rFonts w:eastAsia="Calibri"/>
          <w:lang w:val="en-GB"/>
        </w:rPr>
      </w:pPr>
      <w:r>
        <w:rPr>
          <w:rFonts w:eastAsia="Calibri"/>
          <w:lang w:val="en-GB"/>
        </w:rPr>
        <w:t>Time:</w:t>
      </w:r>
      <w:r>
        <w:rPr>
          <w:rFonts w:eastAsia="Calibri"/>
          <w:lang w:val="en-GB"/>
        </w:rPr>
        <w:tab/>
        <w:t>10</w:t>
      </w:r>
      <w:r w:rsidRPr="00E12D77">
        <w:rPr>
          <w:rFonts w:eastAsia="Calibri"/>
          <w:lang w:val="en-GB"/>
        </w:rPr>
        <w:t>:h00</w:t>
      </w:r>
    </w:p>
    <w:p w:rsidR="00961079" w:rsidRPr="00E12D77" w:rsidRDefault="00961079" w:rsidP="00961079">
      <w:pPr>
        <w:autoSpaceDE w:val="0"/>
        <w:autoSpaceDN w:val="0"/>
        <w:adjustRightInd w:val="0"/>
        <w:spacing w:before="120" w:after="120"/>
        <w:jc w:val="both"/>
        <w:rPr>
          <w:rFonts w:eastAsia="Calibri"/>
          <w:lang w:val="en-GB"/>
        </w:rPr>
      </w:pPr>
      <w:r w:rsidRPr="00E12D77">
        <w:rPr>
          <w:b/>
          <w:bCs/>
        </w:rPr>
        <w:lastRenderedPageBreak/>
        <w:t>Completed tender documents</w:t>
      </w:r>
      <w:r w:rsidRPr="00E12D77">
        <w:t xml:space="preserve"> in sealed envelopes clearly written on the outside” </w:t>
      </w:r>
      <w:r>
        <w:rPr>
          <w:rFonts w:eastAsia="Calibri"/>
          <w:b/>
          <w:lang w:val="en-GB"/>
        </w:rPr>
        <w:t>‘’Tender No: (128/2020:WSIG2020-004</w:t>
      </w:r>
      <w:r>
        <w:rPr>
          <w:b/>
          <w:sz w:val="22"/>
          <w:szCs w:val="22"/>
        </w:rPr>
        <w:t xml:space="preserve"> </w:t>
      </w:r>
      <w:r w:rsidRPr="00961079">
        <w:rPr>
          <w:b/>
        </w:rPr>
        <w:t>REFURBISHMENT &amp; UPGRADE OF PUMP STATIONS IN NDLAMBE</w:t>
      </w:r>
      <w:r w:rsidRPr="00961079">
        <w:rPr>
          <w:rFonts w:eastAsia="Calibri"/>
          <w:b/>
          <w:lang w:val="en-GB"/>
        </w:rPr>
        <w:t>)</w:t>
      </w:r>
      <w:r w:rsidRPr="00E12D77">
        <w:rPr>
          <w:b/>
          <w:bCs/>
        </w:rPr>
        <w:t xml:space="preserve"> </w:t>
      </w:r>
      <w:r w:rsidRPr="00E12D77">
        <w:t xml:space="preserve">must be placed in the tender box at Supply Chain offices at No.  44 Campbell Street, Port Alfred by </w:t>
      </w:r>
      <w:r w:rsidRPr="00E12D77">
        <w:rPr>
          <w:b/>
        </w:rPr>
        <w:t>no later than 12:00</w:t>
      </w:r>
      <w:r w:rsidRPr="00E12D77">
        <w:t xml:space="preserve"> on </w:t>
      </w:r>
      <w:r w:rsidRPr="00E12D77">
        <w:rPr>
          <w:b/>
        </w:rPr>
        <w:t>28 August 2020</w:t>
      </w:r>
      <w:r w:rsidRPr="00E12D77">
        <w:t xml:space="preserve"> (as indicated on the table above).</w:t>
      </w:r>
      <w:r w:rsidRPr="00E12D77">
        <w:rPr>
          <w:rFonts w:eastAsia="Calibri"/>
          <w:lang w:val="en-GB"/>
        </w:rPr>
        <w:t xml:space="preserve">Bid opening register will be forwarded to all bidders on the same day and the opening meeting will be done through zoom virtual meeting. Interested bidders who would like to witness the tender opening should indicate via email to the following email; </w:t>
      </w:r>
      <w:hyperlink r:id="rId10" w:history="1">
        <w:r w:rsidRPr="00E12D77">
          <w:rPr>
            <w:rFonts w:eastAsia="Calibri"/>
            <w:color w:val="0000FF"/>
            <w:u w:val="single"/>
            <w:lang w:val="en-GB"/>
          </w:rPr>
          <w:t>wsigprojects@ndlambe.gov.za</w:t>
        </w:r>
      </w:hyperlink>
      <w:r w:rsidRPr="00E12D77">
        <w:rPr>
          <w:rFonts w:eastAsia="Calibri"/>
          <w:lang w:val="en-GB"/>
        </w:rPr>
        <w:t xml:space="preserve"> and the municipality will forward them an ID </w:t>
      </w:r>
      <w:r w:rsidRPr="00E12D77">
        <w:rPr>
          <w:rFonts w:eastAsia="Calibri"/>
          <w:bCs/>
          <w:lang w:val="en-GB"/>
        </w:rPr>
        <w:t>address for the virtual meeting.</w:t>
      </w:r>
      <w:r w:rsidRPr="00E12D77">
        <w:rPr>
          <w:rFonts w:eastAsia="Calibri"/>
          <w:b/>
          <w:bCs/>
          <w:lang w:val="en-GB"/>
        </w:rPr>
        <w:t xml:space="preserve"> </w:t>
      </w:r>
    </w:p>
    <w:p w:rsidR="00961079" w:rsidRPr="00E65304" w:rsidRDefault="0041327E" w:rsidP="00961079">
      <w:pPr>
        <w:autoSpaceDE w:val="0"/>
        <w:autoSpaceDN w:val="0"/>
        <w:adjustRightInd w:val="0"/>
        <w:spacing w:before="120" w:after="120"/>
        <w:jc w:val="both"/>
        <w:rPr>
          <w:b/>
          <w:sz w:val="16"/>
          <w:szCs w:val="18"/>
        </w:rPr>
      </w:pPr>
      <w:r w:rsidRPr="00E65304">
        <w:rPr>
          <w:b/>
          <w:sz w:val="16"/>
          <w:szCs w:val="18"/>
        </w:rPr>
        <w:t xml:space="preserve">BIDS WILL BE EVALUATED ON THE BASIS OF RESPONSIVENESS FIRST THEN FUNCTIONALITY AND ONLY RESPONSIVE BIDS WILL BE EVALUATED ON PRICE AND B-BBEE STATUS CONTRIBUTOR AT 80/20 POINTS BASIS AS INDICATED FROM THE TABLE BELOW.  </w:t>
      </w:r>
    </w:p>
    <w:p w:rsidR="0041327E" w:rsidRPr="004F67C2" w:rsidRDefault="00E65304" w:rsidP="00961079">
      <w:pPr>
        <w:autoSpaceDE w:val="0"/>
        <w:autoSpaceDN w:val="0"/>
        <w:adjustRightInd w:val="0"/>
        <w:spacing w:before="120" w:after="120"/>
        <w:jc w:val="both"/>
        <w:rPr>
          <w:b/>
          <w:sz w:val="18"/>
          <w:szCs w:val="18"/>
        </w:rPr>
      </w:pPr>
      <w:r>
        <w:rPr>
          <w:b/>
          <w:sz w:val="18"/>
          <w:szCs w:val="18"/>
        </w:rPr>
        <w:t>Functionality</w:t>
      </w:r>
      <w:proofErr w:type="gramStart"/>
      <w:r>
        <w:rPr>
          <w:b/>
          <w:sz w:val="18"/>
          <w:szCs w:val="18"/>
        </w:rPr>
        <w:t>:</w:t>
      </w:r>
      <w:r w:rsidR="0041327E" w:rsidRPr="004F67C2">
        <w:rPr>
          <w:b/>
          <w:sz w:val="18"/>
          <w:szCs w:val="18"/>
        </w:rPr>
        <w:t>100</w:t>
      </w:r>
      <w:proofErr w:type="gramEnd"/>
      <w:r w:rsidR="0041327E" w:rsidRPr="004F67C2">
        <w:rPr>
          <w:b/>
          <w:sz w:val="18"/>
          <w:szCs w:val="18"/>
        </w:rPr>
        <w:t xml:space="preserve"> points, Minimum qualifying points wil</w:t>
      </w:r>
      <w:r w:rsidR="00961079">
        <w:rPr>
          <w:b/>
          <w:sz w:val="18"/>
          <w:szCs w:val="18"/>
        </w:rPr>
        <w:t>l be 70 for further evaluation.</w:t>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4A0" w:firstRow="1" w:lastRow="0" w:firstColumn="1" w:lastColumn="0" w:noHBand="0" w:noVBand="1"/>
      </w:tblPr>
      <w:tblGrid>
        <w:gridCol w:w="8565"/>
        <w:gridCol w:w="2117"/>
      </w:tblGrid>
      <w:tr w:rsidR="00650F35" w:rsidRPr="00E65304" w:rsidTr="00E65304">
        <w:trPr>
          <w:trHeight w:val="81"/>
        </w:trPr>
        <w:tc>
          <w:tcPr>
            <w:tcW w:w="4009" w:type="pct"/>
            <w:tcBorders>
              <w:top w:val="single" w:sz="4" w:space="0" w:color="000000"/>
              <w:left w:val="single" w:sz="4" w:space="0" w:color="000000"/>
              <w:bottom w:val="single" w:sz="6" w:space="0" w:color="000000"/>
              <w:right w:val="single" w:sz="6" w:space="0" w:color="000000"/>
            </w:tcBorders>
            <w:shd w:val="clear" w:color="auto" w:fill="BFBFBF"/>
            <w:hideMark/>
          </w:tcPr>
          <w:p w:rsidR="00650F35" w:rsidRPr="00E65304" w:rsidRDefault="00650F35" w:rsidP="005F1F99">
            <w:pPr>
              <w:autoSpaceDE w:val="0"/>
              <w:autoSpaceDN w:val="0"/>
              <w:adjustRightInd w:val="0"/>
              <w:spacing w:before="120"/>
              <w:jc w:val="both"/>
              <w:rPr>
                <w:sz w:val="16"/>
                <w:lang w:val="en-GB"/>
              </w:rPr>
            </w:pPr>
            <w:r w:rsidRPr="00E65304">
              <w:rPr>
                <w:sz w:val="16"/>
                <w:lang w:val="en-GB"/>
              </w:rPr>
              <w:t>ITEM</w:t>
            </w:r>
          </w:p>
        </w:tc>
        <w:tc>
          <w:tcPr>
            <w:tcW w:w="991" w:type="pct"/>
            <w:tcBorders>
              <w:top w:val="single" w:sz="4" w:space="0" w:color="000000"/>
              <w:left w:val="single" w:sz="6" w:space="0" w:color="000000"/>
              <w:bottom w:val="single" w:sz="6" w:space="0" w:color="000000"/>
              <w:right w:val="single" w:sz="4" w:space="0" w:color="000000"/>
            </w:tcBorders>
            <w:shd w:val="clear" w:color="auto" w:fill="BFBFBF"/>
            <w:hideMark/>
          </w:tcPr>
          <w:p w:rsidR="00650F35" w:rsidRPr="00E65304" w:rsidRDefault="00650F35" w:rsidP="005F1F99">
            <w:pPr>
              <w:autoSpaceDE w:val="0"/>
              <w:autoSpaceDN w:val="0"/>
              <w:adjustRightInd w:val="0"/>
              <w:spacing w:before="120"/>
              <w:jc w:val="both"/>
              <w:rPr>
                <w:sz w:val="16"/>
                <w:lang w:val="en-GB"/>
              </w:rPr>
            </w:pPr>
            <w:r w:rsidRPr="00E65304">
              <w:rPr>
                <w:sz w:val="16"/>
                <w:lang w:val="en-GB"/>
              </w:rPr>
              <w:t>Weight</w:t>
            </w:r>
          </w:p>
        </w:tc>
      </w:tr>
      <w:tr w:rsidR="00650F35" w:rsidRPr="00E65304" w:rsidTr="005F1F99">
        <w:tc>
          <w:tcPr>
            <w:tcW w:w="4009" w:type="pct"/>
            <w:tcBorders>
              <w:top w:val="single" w:sz="6" w:space="0" w:color="000000"/>
              <w:left w:val="single" w:sz="4" w:space="0" w:color="000000"/>
              <w:bottom w:val="single" w:sz="6" w:space="0" w:color="000000"/>
              <w:right w:val="single" w:sz="6" w:space="0" w:color="000000"/>
            </w:tcBorders>
            <w:shd w:val="clear" w:color="auto" w:fill="BFBFBF"/>
            <w:hideMark/>
          </w:tcPr>
          <w:p w:rsidR="00650F35" w:rsidRPr="00E65304" w:rsidRDefault="00650F35" w:rsidP="005F1F99">
            <w:pPr>
              <w:autoSpaceDE w:val="0"/>
              <w:autoSpaceDN w:val="0"/>
              <w:adjustRightInd w:val="0"/>
              <w:spacing w:before="120"/>
              <w:jc w:val="both"/>
              <w:rPr>
                <w:sz w:val="16"/>
                <w:lang w:val="en-GB"/>
              </w:rPr>
            </w:pPr>
            <w:r w:rsidRPr="00E65304">
              <w:rPr>
                <w:sz w:val="16"/>
                <w:lang w:val="en-GB"/>
              </w:rPr>
              <w:t>STAGE 1 OF EVALUATION – FUNCTIONALITY</w:t>
            </w:r>
          </w:p>
        </w:tc>
        <w:tc>
          <w:tcPr>
            <w:tcW w:w="991" w:type="pct"/>
            <w:tcBorders>
              <w:top w:val="single" w:sz="6" w:space="0" w:color="000000"/>
              <w:left w:val="single" w:sz="6" w:space="0" w:color="000000"/>
              <w:bottom w:val="single" w:sz="6" w:space="0" w:color="000000"/>
              <w:right w:val="single" w:sz="4" w:space="0" w:color="000000"/>
            </w:tcBorders>
            <w:shd w:val="clear" w:color="auto" w:fill="BFBFBF"/>
          </w:tcPr>
          <w:p w:rsidR="00650F35" w:rsidRPr="00E65304" w:rsidRDefault="00650F35" w:rsidP="005F1F99">
            <w:pPr>
              <w:autoSpaceDE w:val="0"/>
              <w:autoSpaceDN w:val="0"/>
              <w:adjustRightInd w:val="0"/>
              <w:spacing w:before="120"/>
              <w:jc w:val="both"/>
              <w:rPr>
                <w:sz w:val="16"/>
                <w:lang w:val="en-GB"/>
              </w:rPr>
            </w:pPr>
          </w:p>
        </w:tc>
      </w:tr>
      <w:tr w:rsidR="00650F35" w:rsidRPr="00E65304" w:rsidTr="005F1F99">
        <w:tc>
          <w:tcPr>
            <w:tcW w:w="4009" w:type="pct"/>
            <w:tcBorders>
              <w:top w:val="single" w:sz="6" w:space="0" w:color="000000"/>
              <w:left w:val="single" w:sz="4" w:space="0" w:color="000000"/>
              <w:bottom w:val="single" w:sz="6" w:space="0" w:color="000000"/>
              <w:right w:val="single" w:sz="6" w:space="0" w:color="000000"/>
            </w:tcBorders>
            <w:hideMark/>
          </w:tcPr>
          <w:p w:rsidR="00650F35" w:rsidRPr="00E65304" w:rsidRDefault="00650F35" w:rsidP="005F1F99">
            <w:pPr>
              <w:autoSpaceDE w:val="0"/>
              <w:autoSpaceDN w:val="0"/>
              <w:adjustRightInd w:val="0"/>
              <w:spacing w:before="120"/>
              <w:jc w:val="both"/>
              <w:rPr>
                <w:sz w:val="16"/>
                <w:lang w:val="en-GB"/>
              </w:rPr>
            </w:pPr>
            <w:r w:rsidRPr="00E65304">
              <w:rPr>
                <w:sz w:val="16"/>
                <w:lang w:val="en-GB"/>
              </w:rPr>
              <w:t>Functionality</w:t>
            </w:r>
          </w:p>
        </w:tc>
        <w:tc>
          <w:tcPr>
            <w:tcW w:w="991" w:type="pct"/>
            <w:tcBorders>
              <w:top w:val="single" w:sz="6" w:space="0" w:color="000000"/>
              <w:left w:val="single" w:sz="6" w:space="0" w:color="000000"/>
              <w:bottom w:val="single" w:sz="6" w:space="0" w:color="000000"/>
              <w:right w:val="single" w:sz="4" w:space="0" w:color="000000"/>
            </w:tcBorders>
            <w:hideMark/>
          </w:tcPr>
          <w:p w:rsidR="00650F35" w:rsidRPr="00E65304" w:rsidRDefault="00650F35" w:rsidP="005F1F99">
            <w:pPr>
              <w:autoSpaceDE w:val="0"/>
              <w:autoSpaceDN w:val="0"/>
              <w:adjustRightInd w:val="0"/>
              <w:spacing w:before="120"/>
              <w:jc w:val="both"/>
              <w:rPr>
                <w:sz w:val="16"/>
                <w:lang w:val="en-GB"/>
              </w:rPr>
            </w:pPr>
            <w:r w:rsidRPr="00E65304">
              <w:rPr>
                <w:sz w:val="16"/>
                <w:lang w:val="en-GB"/>
              </w:rPr>
              <w:t>100</w:t>
            </w:r>
          </w:p>
        </w:tc>
      </w:tr>
      <w:tr w:rsidR="00650F35" w:rsidRPr="00E65304" w:rsidTr="005F1F99">
        <w:tc>
          <w:tcPr>
            <w:tcW w:w="4009" w:type="pct"/>
            <w:tcBorders>
              <w:top w:val="single" w:sz="6" w:space="0" w:color="000000"/>
              <w:left w:val="single" w:sz="4" w:space="0" w:color="000000"/>
              <w:bottom w:val="single" w:sz="6" w:space="0" w:color="000000"/>
              <w:right w:val="single" w:sz="6" w:space="0" w:color="000000"/>
            </w:tcBorders>
            <w:hideMark/>
          </w:tcPr>
          <w:p w:rsidR="00650F35" w:rsidRPr="00E65304" w:rsidRDefault="00650F35" w:rsidP="00650F35">
            <w:pPr>
              <w:numPr>
                <w:ilvl w:val="0"/>
                <w:numId w:val="17"/>
              </w:numPr>
              <w:autoSpaceDE w:val="0"/>
              <w:autoSpaceDN w:val="0"/>
              <w:adjustRightInd w:val="0"/>
              <w:spacing w:before="120"/>
              <w:jc w:val="both"/>
              <w:rPr>
                <w:sz w:val="16"/>
                <w:lang w:val="en-GB"/>
              </w:rPr>
            </w:pPr>
            <w:r w:rsidRPr="00E65304">
              <w:rPr>
                <w:sz w:val="16"/>
                <w:lang w:val="en-GB"/>
              </w:rPr>
              <w:t>Methodology and Programme</w:t>
            </w:r>
          </w:p>
        </w:tc>
        <w:tc>
          <w:tcPr>
            <w:tcW w:w="991" w:type="pct"/>
            <w:tcBorders>
              <w:top w:val="single" w:sz="6" w:space="0" w:color="000000"/>
              <w:left w:val="single" w:sz="6" w:space="0" w:color="000000"/>
              <w:bottom w:val="single" w:sz="6" w:space="0" w:color="000000"/>
              <w:right w:val="single" w:sz="4" w:space="0" w:color="000000"/>
            </w:tcBorders>
            <w:hideMark/>
          </w:tcPr>
          <w:p w:rsidR="00650F35" w:rsidRPr="00E65304" w:rsidRDefault="00650F35" w:rsidP="005F1F99">
            <w:pPr>
              <w:autoSpaceDE w:val="0"/>
              <w:autoSpaceDN w:val="0"/>
              <w:adjustRightInd w:val="0"/>
              <w:spacing w:before="120"/>
              <w:jc w:val="both"/>
              <w:rPr>
                <w:sz w:val="16"/>
                <w:lang w:val="en-GB"/>
              </w:rPr>
            </w:pPr>
            <w:r w:rsidRPr="00E65304">
              <w:rPr>
                <w:sz w:val="16"/>
                <w:lang w:val="en-GB"/>
              </w:rPr>
              <w:t>20</w:t>
            </w:r>
          </w:p>
        </w:tc>
      </w:tr>
      <w:tr w:rsidR="00650F35" w:rsidRPr="00E65304" w:rsidTr="005F1F99">
        <w:tc>
          <w:tcPr>
            <w:tcW w:w="4009" w:type="pct"/>
            <w:tcBorders>
              <w:top w:val="single" w:sz="6" w:space="0" w:color="000000"/>
              <w:left w:val="single" w:sz="4" w:space="0" w:color="000000"/>
              <w:bottom w:val="single" w:sz="6" w:space="0" w:color="000000"/>
              <w:right w:val="single" w:sz="6" w:space="0" w:color="000000"/>
            </w:tcBorders>
          </w:tcPr>
          <w:p w:rsidR="00650F35" w:rsidRPr="00E65304" w:rsidRDefault="00650F35" w:rsidP="00650F35">
            <w:pPr>
              <w:numPr>
                <w:ilvl w:val="0"/>
                <w:numId w:val="17"/>
              </w:numPr>
              <w:autoSpaceDE w:val="0"/>
              <w:autoSpaceDN w:val="0"/>
              <w:adjustRightInd w:val="0"/>
              <w:spacing w:before="120"/>
              <w:jc w:val="both"/>
              <w:rPr>
                <w:sz w:val="16"/>
                <w:lang w:val="en-GB"/>
              </w:rPr>
            </w:pPr>
            <w:r w:rsidRPr="00E65304">
              <w:rPr>
                <w:sz w:val="16"/>
                <w:lang w:val="en-GB"/>
              </w:rPr>
              <w:t>Expertise</w:t>
            </w:r>
          </w:p>
        </w:tc>
        <w:tc>
          <w:tcPr>
            <w:tcW w:w="991" w:type="pct"/>
            <w:tcBorders>
              <w:top w:val="single" w:sz="6" w:space="0" w:color="000000"/>
              <w:left w:val="single" w:sz="6" w:space="0" w:color="000000"/>
              <w:bottom w:val="single" w:sz="6" w:space="0" w:color="000000"/>
              <w:right w:val="single" w:sz="4" w:space="0" w:color="000000"/>
            </w:tcBorders>
          </w:tcPr>
          <w:p w:rsidR="00650F35" w:rsidRPr="00E65304" w:rsidRDefault="00650F35" w:rsidP="005F1F99">
            <w:pPr>
              <w:autoSpaceDE w:val="0"/>
              <w:autoSpaceDN w:val="0"/>
              <w:adjustRightInd w:val="0"/>
              <w:spacing w:before="120"/>
              <w:jc w:val="both"/>
              <w:rPr>
                <w:sz w:val="16"/>
                <w:lang w:val="en-GB"/>
              </w:rPr>
            </w:pPr>
            <w:r w:rsidRPr="00E65304">
              <w:rPr>
                <w:sz w:val="16"/>
                <w:lang w:val="en-GB"/>
              </w:rPr>
              <w:t>40</w:t>
            </w:r>
          </w:p>
        </w:tc>
      </w:tr>
      <w:tr w:rsidR="00650F35" w:rsidRPr="00E65304" w:rsidTr="005F1F99">
        <w:tc>
          <w:tcPr>
            <w:tcW w:w="4009" w:type="pct"/>
            <w:tcBorders>
              <w:top w:val="single" w:sz="6" w:space="0" w:color="000000"/>
              <w:left w:val="single" w:sz="4" w:space="0" w:color="000000"/>
              <w:bottom w:val="single" w:sz="6" w:space="0" w:color="000000"/>
              <w:right w:val="single" w:sz="6" w:space="0" w:color="000000"/>
            </w:tcBorders>
          </w:tcPr>
          <w:p w:rsidR="00650F35" w:rsidRPr="00E65304" w:rsidRDefault="00650F35" w:rsidP="00650F35">
            <w:pPr>
              <w:numPr>
                <w:ilvl w:val="0"/>
                <w:numId w:val="17"/>
              </w:numPr>
              <w:autoSpaceDE w:val="0"/>
              <w:autoSpaceDN w:val="0"/>
              <w:adjustRightInd w:val="0"/>
              <w:spacing w:before="120"/>
              <w:jc w:val="both"/>
              <w:rPr>
                <w:sz w:val="16"/>
                <w:lang w:val="en-GB"/>
              </w:rPr>
            </w:pPr>
            <w:r w:rsidRPr="00E65304">
              <w:rPr>
                <w:sz w:val="16"/>
                <w:lang w:val="en-GB"/>
              </w:rPr>
              <w:t>Company Experience</w:t>
            </w:r>
          </w:p>
        </w:tc>
        <w:tc>
          <w:tcPr>
            <w:tcW w:w="991" w:type="pct"/>
            <w:tcBorders>
              <w:top w:val="single" w:sz="6" w:space="0" w:color="000000"/>
              <w:left w:val="single" w:sz="6" w:space="0" w:color="000000"/>
              <w:bottom w:val="single" w:sz="6" w:space="0" w:color="000000"/>
              <w:right w:val="single" w:sz="4" w:space="0" w:color="000000"/>
            </w:tcBorders>
          </w:tcPr>
          <w:p w:rsidR="00650F35" w:rsidRPr="00E65304" w:rsidRDefault="00650F35" w:rsidP="005F1F99">
            <w:pPr>
              <w:autoSpaceDE w:val="0"/>
              <w:autoSpaceDN w:val="0"/>
              <w:adjustRightInd w:val="0"/>
              <w:spacing w:before="120"/>
              <w:jc w:val="both"/>
              <w:rPr>
                <w:sz w:val="16"/>
                <w:lang w:val="en-GB"/>
              </w:rPr>
            </w:pPr>
            <w:r w:rsidRPr="00E65304">
              <w:rPr>
                <w:sz w:val="16"/>
              </w:rPr>
              <w:t>40</w:t>
            </w:r>
          </w:p>
        </w:tc>
      </w:tr>
      <w:tr w:rsidR="00650F35" w:rsidRPr="00E65304" w:rsidTr="005F1F99">
        <w:tc>
          <w:tcPr>
            <w:tcW w:w="4009" w:type="pct"/>
            <w:tcBorders>
              <w:top w:val="single" w:sz="6" w:space="0" w:color="000000"/>
              <w:left w:val="single" w:sz="4" w:space="0" w:color="000000"/>
              <w:bottom w:val="single" w:sz="6" w:space="0" w:color="000000"/>
              <w:right w:val="single" w:sz="6" w:space="0" w:color="000000"/>
            </w:tcBorders>
            <w:shd w:val="clear" w:color="auto" w:fill="F2F2F2"/>
            <w:hideMark/>
          </w:tcPr>
          <w:p w:rsidR="00650F35" w:rsidRPr="00E65304" w:rsidRDefault="00650F35" w:rsidP="005F1F99">
            <w:pPr>
              <w:autoSpaceDE w:val="0"/>
              <w:autoSpaceDN w:val="0"/>
              <w:adjustRightInd w:val="0"/>
              <w:spacing w:before="120"/>
              <w:jc w:val="both"/>
              <w:rPr>
                <w:sz w:val="16"/>
                <w:lang w:val="en-GB"/>
              </w:rPr>
            </w:pPr>
            <w:r w:rsidRPr="00E65304">
              <w:rPr>
                <w:sz w:val="16"/>
                <w:lang w:val="en-GB"/>
              </w:rPr>
              <w:t>STAGE 2 OF EVALUATION – PRICE &amp; B-BBEE</w:t>
            </w:r>
          </w:p>
        </w:tc>
        <w:tc>
          <w:tcPr>
            <w:tcW w:w="991" w:type="pct"/>
            <w:tcBorders>
              <w:top w:val="single" w:sz="6" w:space="0" w:color="000000"/>
              <w:left w:val="single" w:sz="6" w:space="0" w:color="000000"/>
              <w:bottom w:val="single" w:sz="6" w:space="0" w:color="000000"/>
              <w:right w:val="single" w:sz="4" w:space="0" w:color="000000"/>
            </w:tcBorders>
            <w:shd w:val="clear" w:color="auto" w:fill="F2F2F2"/>
          </w:tcPr>
          <w:p w:rsidR="00650F35" w:rsidRPr="00E65304" w:rsidRDefault="00650F35" w:rsidP="005F1F99">
            <w:pPr>
              <w:autoSpaceDE w:val="0"/>
              <w:autoSpaceDN w:val="0"/>
              <w:adjustRightInd w:val="0"/>
              <w:spacing w:before="120"/>
              <w:jc w:val="both"/>
              <w:rPr>
                <w:sz w:val="16"/>
                <w:lang w:val="en-GB"/>
              </w:rPr>
            </w:pPr>
          </w:p>
        </w:tc>
      </w:tr>
      <w:tr w:rsidR="00650F35" w:rsidRPr="00E65304" w:rsidTr="005F1F99">
        <w:tc>
          <w:tcPr>
            <w:tcW w:w="4009" w:type="pct"/>
            <w:tcBorders>
              <w:top w:val="single" w:sz="6" w:space="0" w:color="000000"/>
              <w:left w:val="single" w:sz="4" w:space="0" w:color="000000"/>
              <w:bottom w:val="single" w:sz="6" w:space="0" w:color="000000"/>
              <w:right w:val="single" w:sz="6" w:space="0" w:color="000000"/>
            </w:tcBorders>
            <w:hideMark/>
          </w:tcPr>
          <w:p w:rsidR="00650F35" w:rsidRPr="00E65304" w:rsidRDefault="00650F35" w:rsidP="005F1F99">
            <w:pPr>
              <w:autoSpaceDE w:val="0"/>
              <w:autoSpaceDN w:val="0"/>
              <w:adjustRightInd w:val="0"/>
              <w:spacing w:before="120"/>
              <w:jc w:val="both"/>
              <w:rPr>
                <w:sz w:val="16"/>
                <w:lang w:val="en-GB"/>
              </w:rPr>
            </w:pPr>
            <w:r w:rsidRPr="00E65304">
              <w:rPr>
                <w:sz w:val="16"/>
                <w:lang w:val="en-GB"/>
              </w:rPr>
              <w:t>B-BBEE</w:t>
            </w:r>
          </w:p>
        </w:tc>
        <w:tc>
          <w:tcPr>
            <w:tcW w:w="991" w:type="pct"/>
            <w:tcBorders>
              <w:top w:val="single" w:sz="6" w:space="0" w:color="000000"/>
              <w:left w:val="single" w:sz="6" w:space="0" w:color="000000"/>
              <w:bottom w:val="single" w:sz="6" w:space="0" w:color="000000"/>
              <w:right w:val="single" w:sz="4" w:space="0" w:color="000000"/>
            </w:tcBorders>
            <w:hideMark/>
          </w:tcPr>
          <w:p w:rsidR="00650F35" w:rsidRPr="00E65304" w:rsidRDefault="00650F35" w:rsidP="005F1F99">
            <w:pPr>
              <w:autoSpaceDE w:val="0"/>
              <w:autoSpaceDN w:val="0"/>
              <w:adjustRightInd w:val="0"/>
              <w:spacing w:before="120"/>
              <w:jc w:val="both"/>
              <w:rPr>
                <w:sz w:val="16"/>
                <w:lang w:val="en-GB"/>
              </w:rPr>
            </w:pPr>
            <w:r w:rsidRPr="00E65304">
              <w:rPr>
                <w:sz w:val="16"/>
                <w:lang w:val="en-GB"/>
              </w:rPr>
              <w:t>20</w:t>
            </w:r>
          </w:p>
        </w:tc>
      </w:tr>
      <w:tr w:rsidR="00650F35" w:rsidRPr="00E65304" w:rsidTr="005F1F99">
        <w:tc>
          <w:tcPr>
            <w:tcW w:w="4009" w:type="pct"/>
            <w:tcBorders>
              <w:top w:val="single" w:sz="6" w:space="0" w:color="000000"/>
              <w:left w:val="single" w:sz="4" w:space="0" w:color="000000"/>
              <w:bottom w:val="single" w:sz="6" w:space="0" w:color="000000"/>
              <w:right w:val="single" w:sz="6" w:space="0" w:color="000000"/>
            </w:tcBorders>
            <w:hideMark/>
          </w:tcPr>
          <w:p w:rsidR="00650F35" w:rsidRPr="00E65304" w:rsidRDefault="00650F35" w:rsidP="005F1F99">
            <w:pPr>
              <w:autoSpaceDE w:val="0"/>
              <w:autoSpaceDN w:val="0"/>
              <w:adjustRightInd w:val="0"/>
              <w:spacing w:before="120"/>
              <w:jc w:val="both"/>
              <w:rPr>
                <w:sz w:val="16"/>
                <w:lang w:val="en-GB"/>
              </w:rPr>
            </w:pPr>
            <w:r w:rsidRPr="00E65304">
              <w:rPr>
                <w:sz w:val="16"/>
                <w:lang w:val="en-GB"/>
              </w:rPr>
              <w:t>Price</w:t>
            </w:r>
          </w:p>
        </w:tc>
        <w:tc>
          <w:tcPr>
            <w:tcW w:w="991" w:type="pct"/>
            <w:tcBorders>
              <w:top w:val="single" w:sz="6" w:space="0" w:color="000000"/>
              <w:left w:val="single" w:sz="6" w:space="0" w:color="000000"/>
              <w:bottom w:val="single" w:sz="6" w:space="0" w:color="000000"/>
              <w:right w:val="single" w:sz="4" w:space="0" w:color="000000"/>
            </w:tcBorders>
            <w:hideMark/>
          </w:tcPr>
          <w:p w:rsidR="00650F35" w:rsidRPr="00E65304" w:rsidRDefault="00650F35" w:rsidP="005F1F99">
            <w:pPr>
              <w:autoSpaceDE w:val="0"/>
              <w:autoSpaceDN w:val="0"/>
              <w:adjustRightInd w:val="0"/>
              <w:spacing w:before="120"/>
              <w:jc w:val="both"/>
              <w:rPr>
                <w:sz w:val="16"/>
                <w:lang w:val="en-GB"/>
              </w:rPr>
            </w:pPr>
            <w:r w:rsidRPr="00E65304">
              <w:rPr>
                <w:sz w:val="16"/>
                <w:lang w:val="en-GB"/>
              </w:rPr>
              <w:t>80</w:t>
            </w:r>
          </w:p>
        </w:tc>
      </w:tr>
      <w:tr w:rsidR="00650F35" w:rsidRPr="00E65304" w:rsidTr="005F1F99">
        <w:tc>
          <w:tcPr>
            <w:tcW w:w="4009" w:type="pct"/>
            <w:tcBorders>
              <w:top w:val="single" w:sz="6" w:space="0" w:color="000000"/>
              <w:left w:val="single" w:sz="4" w:space="0" w:color="000000"/>
              <w:bottom w:val="single" w:sz="4" w:space="0" w:color="000000"/>
              <w:right w:val="single" w:sz="4" w:space="0" w:color="000000"/>
            </w:tcBorders>
            <w:shd w:val="clear" w:color="auto" w:fill="F2F2F2"/>
            <w:hideMark/>
          </w:tcPr>
          <w:p w:rsidR="00650F35" w:rsidRPr="00E65304" w:rsidRDefault="00650F35" w:rsidP="005F1F99">
            <w:pPr>
              <w:autoSpaceDE w:val="0"/>
              <w:autoSpaceDN w:val="0"/>
              <w:adjustRightInd w:val="0"/>
              <w:spacing w:before="120"/>
              <w:jc w:val="both"/>
              <w:rPr>
                <w:sz w:val="16"/>
                <w:lang w:val="en-GB"/>
              </w:rPr>
            </w:pPr>
            <w:r w:rsidRPr="00E65304">
              <w:rPr>
                <w:sz w:val="16"/>
                <w:lang w:val="en-GB"/>
              </w:rPr>
              <w:t>TOTAL</w:t>
            </w:r>
          </w:p>
        </w:tc>
        <w:tc>
          <w:tcPr>
            <w:tcW w:w="991" w:type="pct"/>
            <w:tcBorders>
              <w:top w:val="single" w:sz="6" w:space="0" w:color="000000"/>
              <w:left w:val="single" w:sz="4" w:space="0" w:color="000000"/>
              <w:bottom w:val="single" w:sz="4" w:space="0" w:color="000000"/>
              <w:right w:val="single" w:sz="4" w:space="0" w:color="000000"/>
            </w:tcBorders>
            <w:shd w:val="clear" w:color="auto" w:fill="F2F2F2"/>
            <w:hideMark/>
          </w:tcPr>
          <w:p w:rsidR="00650F35" w:rsidRPr="00E65304" w:rsidRDefault="00650F35" w:rsidP="005F1F99">
            <w:pPr>
              <w:autoSpaceDE w:val="0"/>
              <w:autoSpaceDN w:val="0"/>
              <w:adjustRightInd w:val="0"/>
              <w:spacing w:before="120"/>
              <w:jc w:val="both"/>
              <w:rPr>
                <w:sz w:val="16"/>
                <w:lang w:val="en-GB"/>
              </w:rPr>
            </w:pPr>
            <w:r w:rsidRPr="00E65304">
              <w:rPr>
                <w:sz w:val="16"/>
                <w:lang w:val="en-GB"/>
              </w:rPr>
              <w:t>100</w:t>
            </w:r>
          </w:p>
        </w:tc>
      </w:tr>
    </w:tbl>
    <w:p w:rsidR="000C5B10" w:rsidRPr="004F67C2" w:rsidRDefault="000C5B10" w:rsidP="000C5B10">
      <w:pPr>
        <w:spacing w:after="120" w:line="276" w:lineRule="auto"/>
        <w:rPr>
          <w:rFonts w:eastAsia="Calibri"/>
          <w:b/>
          <w:sz w:val="18"/>
          <w:szCs w:val="18"/>
          <w:u w:val="single"/>
          <w:lang w:val="en-ZA"/>
        </w:rPr>
      </w:pPr>
      <w:r w:rsidRPr="004F67C2">
        <w:rPr>
          <w:rFonts w:eastAsia="Calibri"/>
          <w:b/>
          <w:sz w:val="18"/>
          <w:szCs w:val="18"/>
          <w:u w:val="single"/>
          <w:lang w:val="en-ZA"/>
        </w:rPr>
        <w:t>PROSPECTIVE BIDDERS SHALL TAKE NOTE OF THE FOLLOWING BID CONDITIONS:</w:t>
      </w:r>
    </w:p>
    <w:p w:rsidR="000C5B10" w:rsidRPr="009B4828" w:rsidRDefault="000C5B10" w:rsidP="00EC1AAB">
      <w:pPr>
        <w:numPr>
          <w:ilvl w:val="0"/>
          <w:numId w:val="11"/>
        </w:numPr>
        <w:spacing w:after="200"/>
        <w:ind w:left="284" w:hanging="284"/>
        <w:contextualSpacing/>
        <w:rPr>
          <w:rFonts w:eastAsia="Calibri"/>
          <w:lang w:val="en-ZA"/>
        </w:rPr>
      </w:pPr>
      <w:r w:rsidRPr="009B4828">
        <w:rPr>
          <w:rFonts w:eastAsia="Calibri"/>
          <w:lang w:val="en-ZA"/>
        </w:rPr>
        <w:t xml:space="preserve">Bidders will be adjudicated in accordance with the Municipality Supply Chain Management Policy and In terms of Preferential Procurement Policy Framework Act and </w:t>
      </w:r>
      <w:r w:rsidR="005B15BB" w:rsidRPr="009B4828">
        <w:rPr>
          <w:rFonts w:eastAsia="Calibri"/>
          <w:lang w:val="en-ZA"/>
        </w:rPr>
        <w:t>R</w:t>
      </w:r>
      <w:r w:rsidRPr="009B4828">
        <w:rPr>
          <w:rFonts w:eastAsia="Calibri"/>
          <w:lang w:val="en-ZA"/>
        </w:rPr>
        <w:t>egulations of 2017 and will be based on the 80/20 points system.</w:t>
      </w:r>
    </w:p>
    <w:p w:rsidR="000C5B10" w:rsidRPr="009B4828" w:rsidRDefault="000C5B10" w:rsidP="00EC1AAB">
      <w:pPr>
        <w:numPr>
          <w:ilvl w:val="0"/>
          <w:numId w:val="11"/>
        </w:numPr>
        <w:spacing w:after="200"/>
        <w:ind w:left="284" w:hanging="284"/>
        <w:contextualSpacing/>
        <w:rPr>
          <w:rFonts w:eastAsia="Calibri"/>
          <w:lang w:val="en-ZA"/>
        </w:rPr>
      </w:pPr>
      <w:r w:rsidRPr="009B4828">
        <w:rPr>
          <w:rFonts w:eastAsia="Calibri"/>
          <w:lang w:val="en-ZA"/>
        </w:rPr>
        <w:t xml:space="preserve">Tenders are to note that a prequalification evaluation will be undertaken only for </w:t>
      </w:r>
      <w:r w:rsidR="00882F0B" w:rsidRPr="009B4828">
        <w:rPr>
          <w:rFonts w:eastAsia="Calibri"/>
          <w:lang w:val="en-ZA"/>
        </w:rPr>
        <w:t>Grade 2 ME</w:t>
      </w:r>
      <w:r w:rsidRPr="009B4828">
        <w:rPr>
          <w:rFonts w:eastAsia="Calibri"/>
          <w:lang w:val="en-ZA"/>
        </w:rPr>
        <w:t xml:space="preserve"> or Higher bids. A minimum score of 70 points out of 100 points must be scored in order to proceed to the final price evaluation stage</w:t>
      </w:r>
    </w:p>
    <w:p w:rsidR="000C5B10" w:rsidRPr="009B4828" w:rsidRDefault="000C5B10" w:rsidP="00EC1AAB">
      <w:pPr>
        <w:numPr>
          <w:ilvl w:val="0"/>
          <w:numId w:val="11"/>
        </w:numPr>
        <w:spacing w:after="200"/>
        <w:ind w:left="284" w:hanging="284"/>
        <w:contextualSpacing/>
        <w:rPr>
          <w:rFonts w:eastAsia="Calibri"/>
          <w:lang w:val="en-ZA"/>
        </w:rPr>
      </w:pPr>
      <w:r w:rsidRPr="009B4828">
        <w:rPr>
          <w:rFonts w:eastAsia="Calibri"/>
          <w:lang w:val="en-ZA"/>
        </w:rPr>
        <w:t>Prices must be valid for at least ninety (90) days from the closing date (</w:t>
      </w:r>
      <w:r w:rsidRPr="009B4828">
        <w:rPr>
          <w:rFonts w:eastAsia="Calibri"/>
          <w:b/>
          <w:lang w:val="en-ZA"/>
        </w:rPr>
        <w:t>confirmation hereof to be stated on quotation</w:t>
      </w:r>
      <w:r w:rsidRPr="009B4828">
        <w:rPr>
          <w:rFonts w:eastAsia="Calibri"/>
          <w:lang w:val="en-ZA"/>
        </w:rPr>
        <w:t>).</w:t>
      </w:r>
    </w:p>
    <w:p w:rsidR="000C5B10" w:rsidRPr="009B4828" w:rsidRDefault="000C5B10" w:rsidP="00EC1AAB">
      <w:pPr>
        <w:numPr>
          <w:ilvl w:val="0"/>
          <w:numId w:val="11"/>
        </w:numPr>
        <w:spacing w:after="200"/>
        <w:ind w:left="284" w:hanging="284"/>
        <w:contextualSpacing/>
        <w:rPr>
          <w:rFonts w:eastAsia="Calibri"/>
          <w:lang w:val="en-ZA"/>
        </w:rPr>
      </w:pPr>
      <w:r w:rsidRPr="009B4828">
        <w:rPr>
          <w:rFonts w:eastAsia="Calibri"/>
          <w:lang w:val="en-ZA"/>
        </w:rPr>
        <w:t>Prices quoted must be firm and must be inclusive of VAT.</w:t>
      </w:r>
    </w:p>
    <w:p w:rsidR="000C5B10" w:rsidRPr="009B4828" w:rsidRDefault="000C5B10" w:rsidP="00EC1AAB">
      <w:pPr>
        <w:numPr>
          <w:ilvl w:val="0"/>
          <w:numId w:val="11"/>
        </w:numPr>
        <w:spacing w:after="200"/>
        <w:ind w:left="284" w:hanging="284"/>
        <w:contextualSpacing/>
        <w:rPr>
          <w:rFonts w:eastAsia="Calibri"/>
          <w:lang w:val="en-ZA"/>
        </w:rPr>
      </w:pPr>
      <w:proofErr w:type="spellStart"/>
      <w:r w:rsidRPr="009B4828">
        <w:rPr>
          <w:rFonts w:eastAsia="Calibri"/>
          <w:lang w:val="en-ZA"/>
        </w:rPr>
        <w:t>Ndlambe</w:t>
      </w:r>
      <w:proofErr w:type="spellEnd"/>
      <w:r w:rsidRPr="009B4828">
        <w:rPr>
          <w:rFonts w:eastAsia="Calibri"/>
          <w:lang w:val="en-ZA"/>
        </w:rPr>
        <w:t xml:space="preserve"> Local Municipality does not bind itself to accept the lowest bid or any other bid and reserves the right to accept the whole or part of the bid.</w:t>
      </w:r>
    </w:p>
    <w:p w:rsidR="000C5B10" w:rsidRPr="009B4828" w:rsidRDefault="00732A11" w:rsidP="00EC1AAB">
      <w:pPr>
        <w:numPr>
          <w:ilvl w:val="0"/>
          <w:numId w:val="11"/>
        </w:numPr>
        <w:spacing w:after="200"/>
        <w:ind w:left="284" w:hanging="284"/>
        <w:contextualSpacing/>
        <w:rPr>
          <w:rFonts w:eastAsia="Calibri"/>
          <w:lang w:val="en-ZA"/>
        </w:rPr>
      </w:pPr>
      <w:r w:rsidRPr="009B4828">
        <w:rPr>
          <w:rFonts w:eastAsia="Calibri"/>
          <w:lang w:val="en-ZA"/>
        </w:rPr>
        <w:t>Late submitted, unmarked, faxed, falsified or e-mailed offers will not be considered and will be disqualified, whilst the lowest or only quotation will not necessarily be accepted.</w:t>
      </w:r>
    </w:p>
    <w:p w:rsidR="000C5B10" w:rsidRPr="009B4828" w:rsidRDefault="000C5B10" w:rsidP="00EC1AAB">
      <w:pPr>
        <w:numPr>
          <w:ilvl w:val="0"/>
          <w:numId w:val="11"/>
        </w:numPr>
        <w:spacing w:after="200"/>
        <w:ind w:left="284" w:hanging="284"/>
        <w:contextualSpacing/>
        <w:rPr>
          <w:rFonts w:eastAsia="Calibri"/>
          <w:lang w:val="en-ZA"/>
        </w:rPr>
      </w:pPr>
      <w:r w:rsidRPr="009B4828">
        <w:rPr>
          <w:rFonts w:eastAsia="Calibri"/>
          <w:lang w:val="en-ZA"/>
        </w:rPr>
        <w:t xml:space="preserve">An original tax clearance certificate issued by SARS must accompany all quotations OR a tax reference number and PIN or TCC number must be provided. </w:t>
      </w:r>
    </w:p>
    <w:p w:rsidR="000C5B10" w:rsidRPr="009B4828" w:rsidRDefault="00732A11" w:rsidP="00EC1AAB">
      <w:pPr>
        <w:numPr>
          <w:ilvl w:val="0"/>
          <w:numId w:val="11"/>
        </w:numPr>
        <w:spacing w:after="200"/>
        <w:ind w:left="284" w:hanging="284"/>
        <w:contextualSpacing/>
        <w:rPr>
          <w:rFonts w:eastAsia="Calibri"/>
          <w:lang w:val="en-ZA"/>
        </w:rPr>
      </w:pPr>
      <w:r w:rsidRPr="009B4828">
        <w:rPr>
          <w:rFonts w:eastAsia="Calibri"/>
          <w:lang w:val="en-ZA"/>
        </w:rPr>
        <w:t xml:space="preserve">The following forms are required to be completed and submitted together with the bid: </w:t>
      </w:r>
      <w:r w:rsidRPr="009B4828">
        <w:rPr>
          <w:rFonts w:eastAsia="Calibri"/>
          <w:b/>
          <w:lang w:val="en-ZA"/>
        </w:rPr>
        <w:t>MBD4</w:t>
      </w:r>
      <w:r w:rsidRPr="009B4828">
        <w:rPr>
          <w:rFonts w:eastAsia="Calibri"/>
          <w:lang w:val="en-ZA"/>
        </w:rPr>
        <w:t xml:space="preserve">, </w:t>
      </w:r>
      <w:r w:rsidRPr="009B4828">
        <w:rPr>
          <w:rFonts w:eastAsia="Calibri"/>
          <w:b/>
          <w:lang w:val="en-ZA"/>
        </w:rPr>
        <w:t>MBD9</w:t>
      </w:r>
      <w:r w:rsidR="004471DD" w:rsidRPr="009B4828">
        <w:rPr>
          <w:rFonts w:eastAsia="Calibri"/>
          <w:lang w:val="en-ZA"/>
        </w:rPr>
        <w:t>,</w:t>
      </w:r>
      <w:r w:rsidRPr="009B4828">
        <w:rPr>
          <w:rFonts w:eastAsia="Calibri"/>
          <w:lang w:val="en-ZA"/>
        </w:rPr>
        <w:t xml:space="preserve"> </w:t>
      </w:r>
      <w:r w:rsidR="004471DD" w:rsidRPr="009B4828">
        <w:rPr>
          <w:rFonts w:eastAsia="Calibri"/>
          <w:b/>
          <w:lang w:val="en-ZA"/>
        </w:rPr>
        <w:t>MBD 8</w:t>
      </w:r>
      <w:r w:rsidR="004471DD" w:rsidRPr="009B4828">
        <w:rPr>
          <w:rFonts w:eastAsia="Calibri"/>
          <w:lang w:val="en-ZA"/>
        </w:rPr>
        <w:t xml:space="preserve"> and </w:t>
      </w:r>
      <w:r w:rsidRPr="009B4828">
        <w:rPr>
          <w:rFonts w:eastAsia="Calibri"/>
          <w:b/>
          <w:lang w:val="en-ZA"/>
        </w:rPr>
        <w:t>MBD6.1</w:t>
      </w:r>
      <w:r w:rsidRPr="009B4828">
        <w:rPr>
          <w:rFonts w:eastAsia="Calibri"/>
          <w:lang w:val="en-ZA"/>
        </w:rPr>
        <w:t xml:space="preserve"> as well as a </w:t>
      </w:r>
      <w:r w:rsidRPr="009B4828">
        <w:rPr>
          <w:rFonts w:eastAsia="Calibri"/>
          <w:b/>
          <w:lang w:val="en-ZA"/>
        </w:rPr>
        <w:t>certified copy</w:t>
      </w:r>
      <w:r w:rsidRPr="009B4828">
        <w:rPr>
          <w:rFonts w:eastAsia="Calibri"/>
          <w:lang w:val="en-ZA"/>
        </w:rPr>
        <w:t xml:space="preserve"> of the proof of B-BBEE status level contributor (Certificate or Affidavit).</w:t>
      </w:r>
    </w:p>
    <w:p w:rsidR="000C5B10" w:rsidRPr="009B4828" w:rsidRDefault="000C5B10" w:rsidP="00EC1AAB">
      <w:pPr>
        <w:numPr>
          <w:ilvl w:val="0"/>
          <w:numId w:val="11"/>
        </w:numPr>
        <w:spacing w:after="200"/>
        <w:ind w:left="284" w:hanging="284"/>
        <w:contextualSpacing/>
        <w:rPr>
          <w:rFonts w:eastAsia="Calibri"/>
          <w:lang w:val="en-ZA"/>
        </w:rPr>
      </w:pPr>
      <w:r w:rsidRPr="009B4828">
        <w:rPr>
          <w:rFonts w:eastAsia="Calibri"/>
          <w:lang w:val="en-ZA"/>
        </w:rPr>
        <w:t xml:space="preserve">In case of </w:t>
      </w:r>
      <w:r w:rsidR="00732A11" w:rsidRPr="009B4828">
        <w:rPr>
          <w:rFonts w:eastAsia="Calibri"/>
          <w:lang w:val="en-ZA"/>
        </w:rPr>
        <w:t>a</w:t>
      </w:r>
      <w:r w:rsidRPr="009B4828">
        <w:rPr>
          <w:rFonts w:eastAsia="Calibri"/>
          <w:lang w:val="en-ZA"/>
        </w:rPr>
        <w:t xml:space="preserve"> </w:t>
      </w:r>
      <w:r w:rsidR="00732A11" w:rsidRPr="009B4828">
        <w:rPr>
          <w:rFonts w:eastAsia="Calibri"/>
          <w:lang w:val="en-ZA"/>
        </w:rPr>
        <w:t>J</w:t>
      </w:r>
      <w:r w:rsidRPr="009B4828">
        <w:rPr>
          <w:rFonts w:eastAsia="Calibri"/>
          <w:lang w:val="en-ZA"/>
        </w:rPr>
        <w:t>oint Venture, a memorandum of agreement indicating the level of involvement and responsibilities of each joint venture partner must be submitted. Individual partners are to comply and submit all relevant documents.</w:t>
      </w:r>
    </w:p>
    <w:p w:rsidR="000C5B10" w:rsidRPr="009B4828" w:rsidRDefault="009B4828" w:rsidP="00EC1AAB">
      <w:pPr>
        <w:numPr>
          <w:ilvl w:val="0"/>
          <w:numId w:val="11"/>
        </w:numPr>
        <w:spacing w:after="200"/>
        <w:ind w:left="284" w:hanging="284"/>
        <w:contextualSpacing/>
        <w:rPr>
          <w:rFonts w:eastAsia="Calibri"/>
          <w:lang w:val="en-ZA"/>
        </w:rPr>
      </w:pPr>
      <w:r w:rsidRPr="009B4828">
        <w:rPr>
          <w:rFonts w:eastAsia="Calibri"/>
          <w:lang w:val="en-ZA"/>
        </w:rPr>
        <w:t xml:space="preserve">Successful </w:t>
      </w:r>
      <w:r w:rsidR="000C5B10" w:rsidRPr="009B4828">
        <w:rPr>
          <w:rFonts w:eastAsia="Calibri"/>
          <w:lang w:val="en-ZA"/>
        </w:rPr>
        <w:t xml:space="preserve">Bidders to submit a letter of Good </w:t>
      </w:r>
      <w:r w:rsidR="00732A11" w:rsidRPr="009B4828">
        <w:rPr>
          <w:rFonts w:eastAsia="Calibri"/>
          <w:lang w:val="en-ZA"/>
        </w:rPr>
        <w:t>S</w:t>
      </w:r>
      <w:r w:rsidR="000C5B10" w:rsidRPr="009B4828">
        <w:rPr>
          <w:rFonts w:eastAsia="Calibri"/>
          <w:lang w:val="en-ZA"/>
        </w:rPr>
        <w:t xml:space="preserve">tanding from </w:t>
      </w:r>
      <w:r w:rsidR="00732A11" w:rsidRPr="009B4828">
        <w:rPr>
          <w:rFonts w:eastAsia="Calibri"/>
          <w:lang w:val="en-ZA"/>
        </w:rPr>
        <w:t>the C</w:t>
      </w:r>
      <w:r w:rsidR="000C5B10" w:rsidRPr="009B4828">
        <w:rPr>
          <w:rFonts w:eastAsia="Calibri"/>
          <w:lang w:val="en-ZA"/>
        </w:rPr>
        <w:t xml:space="preserve">ompensation </w:t>
      </w:r>
      <w:r w:rsidR="00732A11" w:rsidRPr="009B4828">
        <w:rPr>
          <w:rFonts w:eastAsia="Calibri"/>
          <w:lang w:val="en-ZA"/>
        </w:rPr>
        <w:t>C</w:t>
      </w:r>
      <w:r w:rsidR="000C5B10" w:rsidRPr="009B4828">
        <w:rPr>
          <w:rFonts w:eastAsia="Calibri"/>
          <w:lang w:val="en-ZA"/>
        </w:rPr>
        <w:t xml:space="preserve">ommission </w:t>
      </w:r>
      <w:r w:rsidRPr="009B4828">
        <w:rPr>
          <w:rFonts w:eastAsia="Calibri"/>
          <w:lang w:val="en-ZA"/>
        </w:rPr>
        <w:t xml:space="preserve">within 7 days upon receipt of the letter of intent to appoint. </w:t>
      </w:r>
    </w:p>
    <w:p w:rsidR="000C5B10" w:rsidRPr="009B4828" w:rsidRDefault="000C5B10" w:rsidP="00EC1AAB">
      <w:pPr>
        <w:numPr>
          <w:ilvl w:val="0"/>
          <w:numId w:val="12"/>
        </w:numPr>
        <w:spacing w:after="200"/>
        <w:ind w:left="284" w:hanging="284"/>
        <w:contextualSpacing/>
        <w:rPr>
          <w:rFonts w:eastAsia="Calibri"/>
          <w:lang w:val="en-ZA"/>
        </w:rPr>
      </w:pPr>
      <w:r w:rsidRPr="009B4828">
        <w:rPr>
          <w:rFonts w:eastAsia="Calibri"/>
          <w:lang w:val="en-ZA"/>
        </w:rPr>
        <w:t>Bidders must submit Company Registration Certificate and Company Profile.</w:t>
      </w:r>
    </w:p>
    <w:p w:rsidR="00961079" w:rsidRDefault="00961079" w:rsidP="00EC1AAB">
      <w:pPr>
        <w:numPr>
          <w:ilvl w:val="0"/>
          <w:numId w:val="12"/>
        </w:numPr>
        <w:spacing w:after="200"/>
        <w:ind w:left="284" w:hanging="284"/>
        <w:contextualSpacing/>
        <w:rPr>
          <w:rFonts w:eastAsia="Calibri"/>
          <w:lang w:val="en-ZA"/>
        </w:rPr>
      </w:pPr>
      <w:r w:rsidRPr="009B4828">
        <w:rPr>
          <w:rFonts w:eastAsia="Calibri"/>
          <w:lang w:val="en-ZA"/>
        </w:rPr>
        <w:t xml:space="preserve">A CIDB grading of 2ME or higher must be submitted with the bids. </w:t>
      </w:r>
    </w:p>
    <w:p w:rsidR="008F39B6" w:rsidRPr="009B4828" w:rsidRDefault="008F39B6" w:rsidP="00EC1AAB">
      <w:pPr>
        <w:numPr>
          <w:ilvl w:val="0"/>
          <w:numId w:val="12"/>
        </w:numPr>
        <w:spacing w:after="200"/>
        <w:ind w:left="284" w:hanging="284"/>
        <w:contextualSpacing/>
        <w:rPr>
          <w:rFonts w:eastAsia="Calibri"/>
          <w:lang w:val="en-ZA"/>
        </w:rPr>
      </w:pPr>
      <w:r>
        <w:rPr>
          <w:rFonts w:eastAsia="Calibri"/>
          <w:lang w:val="en-ZA"/>
        </w:rPr>
        <w:t>Service provider will be appointed on</w:t>
      </w:r>
      <w:r w:rsidR="000A7FF2">
        <w:rPr>
          <w:rFonts w:eastAsia="Calibri"/>
          <w:lang w:val="en-ZA"/>
        </w:rPr>
        <w:t xml:space="preserve"> one </w:t>
      </w:r>
      <w:r>
        <w:rPr>
          <w:rFonts w:eastAsia="Calibri"/>
          <w:lang w:val="en-ZA"/>
        </w:rPr>
        <w:t xml:space="preserve">cluster. </w:t>
      </w:r>
    </w:p>
    <w:p w:rsidR="000C5B10" w:rsidRPr="009B4828" w:rsidRDefault="000C5B10" w:rsidP="00EC1AAB">
      <w:pPr>
        <w:numPr>
          <w:ilvl w:val="0"/>
          <w:numId w:val="12"/>
        </w:numPr>
        <w:spacing w:after="200"/>
        <w:ind w:left="284" w:hanging="284"/>
        <w:contextualSpacing/>
        <w:rPr>
          <w:rFonts w:eastAsia="Calibri"/>
          <w:lang w:val="en-ZA"/>
        </w:rPr>
      </w:pPr>
      <w:r w:rsidRPr="009B4828">
        <w:rPr>
          <w:rFonts w:eastAsia="Calibri"/>
          <w:noProof/>
        </w:rPr>
        <w:t>Latest Municipal Billing Clearance Certificate, which covers, if applicable, both the company and its directors, must accompany all bids.</w:t>
      </w:r>
    </w:p>
    <w:p w:rsidR="000C5B10" w:rsidRPr="009B4828" w:rsidRDefault="000C5B10" w:rsidP="00EC1AAB">
      <w:pPr>
        <w:numPr>
          <w:ilvl w:val="0"/>
          <w:numId w:val="12"/>
        </w:numPr>
        <w:spacing w:after="200"/>
        <w:ind w:left="284" w:hanging="284"/>
        <w:contextualSpacing/>
        <w:rPr>
          <w:rFonts w:eastAsia="Calibri"/>
          <w:noProof/>
        </w:rPr>
      </w:pPr>
      <w:r w:rsidRPr="009B4828">
        <w:rPr>
          <w:rFonts w:eastAsia="Calibri"/>
          <w:noProof/>
        </w:rPr>
        <w:t>Evidence of registration of company on the Central Supplier Database must be provided (CSD “MAAA” number).</w:t>
      </w:r>
    </w:p>
    <w:p w:rsidR="000C5B10" w:rsidRPr="009B4828" w:rsidRDefault="000C5B10" w:rsidP="00EC1AAB">
      <w:pPr>
        <w:numPr>
          <w:ilvl w:val="0"/>
          <w:numId w:val="12"/>
        </w:numPr>
        <w:spacing w:after="200"/>
        <w:ind w:left="284" w:hanging="284"/>
        <w:contextualSpacing/>
        <w:rPr>
          <w:rFonts w:eastAsia="Calibri"/>
          <w:b/>
          <w:noProof/>
          <w:u w:val="single"/>
        </w:rPr>
      </w:pPr>
      <w:r w:rsidRPr="009B4828">
        <w:rPr>
          <w:rFonts w:eastAsia="Calibri"/>
          <w:noProof/>
        </w:rPr>
        <w:t xml:space="preserve">Failure to complete </w:t>
      </w:r>
      <w:r w:rsidRPr="009B4828">
        <w:rPr>
          <w:rFonts w:eastAsia="Calibri"/>
          <w:b/>
          <w:noProof/>
          <w:u w:val="single"/>
        </w:rPr>
        <w:t>A</w:t>
      </w:r>
      <w:r w:rsidR="00732A11" w:rsidRPr="009B4828">
        <w:rPr>
          <w:rFonts w:eastAsia="Calibri"/>
          <w:b/>
          <w:noProof/>
          <w:u w:val="single"/>
        </w:rPr>
        <w:t>LL</w:t>
      </w:r>
      <w:r w:rsidRPr="009B4828">
        <w:rPr>
          <w:rFonts w:eastAsia="Calibri"/>
          <w:b/>
          <w:noProof/>
          <w:u w:val="single"/>
        </w:rPr>
        <w:t xml:space="preserve"> </w:t>
      </w:r>
      <w:r w:rsidRPr="009B4828">
        <w:rPr>
          <w:rFonts w:eastAsia="Calibri"/>
          <w:noProof/>
        </w:rPr>
        <w:t>the supplementary information will result in bidder being deemed non</w:t>
      </w:r>
      <w:r w:rsidR="00732A11" w:rsidRPr="009B4828">
        <w:rPr>
          <w:rFonts w:eastAsia="Calibri"/>
          <w:noProof/>
        </w:rPr>
        <w:t>-</w:t>
      </w:r>
      <w:r w:rsidRPr="009B4828">
        <w:rPr>
          <w:rFonts w:eastAsia="Calibri"/>
          <w:noProof/>
        </w:rPr>
        <w:t>responsive.</w:t>
      </w:r>
    </w:p>
    <w:p w:rsidR="00597931" w:rsidRPr="009B4828" w:rsidRDefault="00597931" w:rsidP="00597931">
      <w:pPr>
        <w:autoSpaceDE w:val="0"/>
        <w:autoSpaceDN w:val="0"/>
        <w:adjustRightInd w:val="0"/>
        <w:spacing w:before="120"/>
        <w:jc w:val="both"/>
      </w:pPr>
      <w:r w:rsidRPr="009B4828">
        <w:t xml:space="preserve">Enquiries relating to bid </w:t>
      </w:r>
      <w:r w:rsidR="007515F2" w:rsidRPr="009B4828">
        <w:t xml:space="preserve">documents may be referred to </w:t>
      </w:r>
      <w:proofErr w:type="spellStart"/>
      <w:r w:rsidR="009202B7" w:rsidRPr="009B4828">
        <w:rPr>
          <w:color w:val="000000"/>
        </w:rPr>
        <w:t>Mrs</w:t>
      </w:r>
      <w:proofErr w:type="spellEnd"/>
      <w:r w:rsidR="009202B7" w:rsidRPr="009B4828">
        <w:rPr>
          <w:color w:val="000000"/>
        </w:rPr>
        <w:t xml:space="preserve"> N. </w:t>
      </w:r>
      <w:proofErr w:type="spellStart"/>
      <w:r w:rsidR="009202B7" w:rsidRPr="009B4828">
        <w:rPr>
          <w:color w:val="000000"/>
        </w:rPr>
        <w:t>Vithi</w:t>
      </w:r>
      <w:proofErr w:type="spellEnd"/>
      <w:r w:rsidR="009202B7" w:rsidRPr="009B4828">
        <w:rPr>
          <w:color w:val="000000"/>
        </w:rPr>
        <w:t xml:space="preserve"> </w:t>
      </w:r>
      <w:proofErr w:type="spellStart"/>
      <w:r w:rsidR="009202B7" w:rsidRPr="009B4828">
        <w:rPr>
          <w:color w:val="000000"/>
        </w:rPr>
        <w:t>Masiza</w:t>
      </w:r>
      <w:proofErr w:type="spellEnd"/>
      <w:r w:rsidR="009202B7" w:rsidRPr="009B4828">
        <w:t xml:space="preserve"> </w:t>
      </w:r>
      <w:r w:rsidRPr="009B4828">
        <w:t>on Tel: 046 604 5500 / Fax: 046 624</w:t>
      </w:r>
      <w:r w:rsidR="00A44FFB" w:rsidRPr="009B4828">
        <w:t xml:space="preserve"> 2669 or send an</w:t>
      </w:r>
      <w:r w:rsidRPr="009B4828">
        <w:t xml:space="preserve"> email to</w:t>
      </w:r>
      <w:r w:rsidR="009202B7" w:rsidRPr="009B4828">
        <w:t>:</w:t>
      </w:r>
      <w:r w:rsidRPr="009B4828">
        <w:t xml:space="preserve"> </w:t>
      </w:r>
      <w:r w:rsidR="009202B7" w:rsidRPr="009B4828">
        <w:rPr>
          <w:color w:val="000000"/>
        </w:rPr>
        <w:t>wsigprojects@ndlambe.gov.za</w:t>
      </w:r>
      <w:r w:rsidR="009202B7" w:rsidRPr="009B4828">
        <w:t xml:space="preserve">                                  </w:t>
      </w:r>
    </w:p>
    <w:p w:rsidR="00E65304" w:rsidRDefault="00E65304" w:rsidP="00E65304">
      <w:pPr>
        <w:rPr>
          <w:b/>
        </w:rPr>
      </w:pPr>
    </w:p>
    <w:p w:rsidR="00E65304" w:rsidRDefault="00E65304" w:rsidP="00E65304">
      <w:pPr>
        <w:rPr>
          <w:b/>
        </w:rPr>
      </w:pPr>
    </w:p>
    <w:p w:rsidR="000C5B10" w:rsidRPr="009B4828" w:rsidRDefault="00A4182C" w:rsidP="00E65304">
      <w:pPr>
        <w:rPr>
          <w:b/>
        </w:rPr>
      </w:pPr>
      <w:r w:rsidRPr="009B4828">
        <w:rPr>
          <w:b/>
        </w:rPr>
        <w:t xml:space="preserve">NOTICE NUMBER: </w:t>
      </w:r>
      <w:r w:rsidR="00F160DC" w:rsidRPr="009B4828">
        <w:rPr>
          <w:b/>
        </w:rPr>
        <w:t>128/</w:t>
      </w:r>
      <w:r w:rsidR="0068432E" w:rsidRPr="009B4828">
        <w:rPr>
          <w:b/>
        </w:rPr>
        <w:t>2020 (</w:t>
      </w:r>
      <w:r w:rsidR="0068432E" w:rsidRPr="009B4828">
        <w:rPr>
          <w:b/>
          <w:color w:val="000000"/>
        </w:rPr>
        <w:t>WSIG2020-004)</w:t>
      </w:r>
      <w:r w:rsidR="0068432E" w:rsidRPr="009B4828">
        <w:rPr>
          <w:b/>
          <w:bCs/>
        </w:rPr>
        <w:t xml:space="preserve"> </w:t>
      </w:r>
      <w:r w:rsidR="0068432E" w:rsidRPr="009B4828">
        <w:rPr>
          <w:b/>
        </w:rPr>
        <w:t xml:space="preserve"> </w:t>
      </w:r>
      <w:r w:rsidR="000C5B10" w:rsidRPr="009B4828">
        <w:rPr>
          <w:b/>
        </w:rPr>
        <w:t xml:space="preserve">    </w:t>
      </w:r>
      <w:r w:rsidR="000C5B10" w:rsidRPr="009B4828">
        <w:rPr>
          <w:b/>
        </w:rPr>
        <w:tab/>
      </w:r>
      <w:bookmarkStart w:id="2" w:name="_GoBack"/>
      <w:bookmarkEnd w:id="2"/>
      <w:r w:rsidR="000C5B10" w:rsidRPr="009B4828">
        <w:rPr>
          <w:b/>
        </w:rPr>
        <w:tab/>
        <w:t xml:space="preserve">                                              </w:t>
      </w:r>
      <w:r w:rsidR="009B4828" w:rsidRPr="009B4828">
        <w:rPr>
          <w:b/>
        </w:rPr>
        <w:t xml:space="preserve">  </w:t>
      </w:r>
      <w:r w:rsidR="000C5B10" w:rsidRPr="009B4828">
        <w:rPr>
          <w:b/>
        </w:rPr>
        <w:t xml:space="preserve"> ADV R DUMEZWENI</w:t>
      </w:r>
    </w:p>
    <w:p w:rsidR="00E65304" w:rsidRDefault="00A44FFB" w:rsidP="00E65304">
      <w:pPr>
        <w:pBdr>
          <w:bottom w:val="double" w:sz="6" w:space="1" w:color="auto"/>
        </w:pBdr>
        <w:rPr>
          <w:b/>
        </w:rPr>
      </w:pPr>
      <w:r w:rsidRPr="009B4828">
        <w:rPr>
          <w:b/>
        </w:rPr>
        <w:t xml:space="preserve">13 August </w:t>
      </w:r>
      <w:r w:rsidR="00A4182C" w:rsidRPr="009B4828">
        <w:rPr>
          <w:b/>
        </w:rPr>
        <w:t>2020</w:t>
      </w:r>
      <w:r w:rsidR="000C5B10" w:rsidRPr="009B4828">
        <w:rPr>
          <w:b/>
        </w:rPr>
        <w:t xml:space="preserve">                                                                               </w:t>
      </w:r>
      <w:r w:rsidR="00EC1AAB" w:rsidRPr="009B4828">
        <w:rPr>
          <w:b/>
        </w:rPr>
        <w:tab/>
      </w:r>
      <w:r w:rsidR="00EC1AAB" w:rsidRPr="009B4828">
        <w:rPr>
          <w:b/>
        </w:rPr>
        <w:tab/>
      </w:r>
      <w:r w:rsidR="00EC1AAB" w:rsidRPr="009B4828">
        <w:rPr>
          <w:b/>
        </w:rPr>
        <w:tab/>
      </w:r>
      <w:r w:rsidR="009B4828" w:rsidRPr="009B4828">
        <w:rPr>
          <w:b/>
        </w:rPr>
        <w:t xml:space="preserve">    </w:t>
      </w:r>
      <w:r w:rsidR="000C5B10" w:rsidRPr="009B4828">
        <w:rPr>
          <w:b/>
        </w:rPr>
        <w:t>MUNICIPAL MANAGE</w:t>
      </w:r>
      <w:r w:rsidR="000B3F0E" w:rsidRPr="009B4828">
        <w:rPr>
          <w:b/>
        </w:rPr>
        <w:t>R</w:t>
      </w:r>
    </w:p>
    <w:p w:rsidR="00E65304" w:rsidRDefault="00E65304" w:rsidP="00E65304">
      <w:pPr>
        <w:pBdr>
          <w:bottom w:val="double" w:sz="6" w:space="1" w:color="auto"/>
        </w:pBdr>
        <w:rPr>
          <w:b/>
        </w:rPr>
      </w:pPr>
    </w:p>
    <w:p w:rsidR="00E65304" w:rsidRDefault="00E65304" w:rsidP="00E65304">
      <w:pPr>
        <w:pBdr>
          <w:bottom w:val="double" w:sz="6" w:space="1" w:color="auto"/>
        </w:pBdr>
        <w:rPr>
          <w:b/>
        </w:rPr>
      </w:pPr>
    </w:p>
    <w:p w:rsidR="000C5B10" w:rsidRPr="009B4828" w:rsidRDefault="00EC1AAB" w:rsidP="00E65304">
      <w:pPr>
        <w:pBdr>
          <w:bottom w:val="double" w:sz="6" w:space="1" w:color="auto"/>
        </w:pBdr>
        <w:rPr>
          <w:b/>
        </w:rPr>
      </w:pPr>
      <w:r w:rsidRPr="009B4828">
        <w:rPr>
          <w:b/>
        </w:rPr>
        <w:t>Municipal Website, Notice Boards, and Talk of the Town</w:t>
      </w:r>
    </w:p>
    <w:sectPr w:rsidR="000C5B10" w:rsidRPr="009B4828" w:rsidSect="00EC1AAB">
      <w:footerReference w:type="default" r:id="rId11"/>
      <w:pgSz w:w="11906" w:h="16838"/>
      <w:pgMar w:top="720" w:right="720" w:bottom="720" w:left="720" w:header="142" w:footer="708" w:gutter="0"/>
      <w:pgBorders w:offsetFrom="page">
        <w:top w:val="single" w:sz="18" w:space="24" w:color="auto"/>
        <w:left w:val="single" w:sz="18" w:space="24" w:color="auto"/>
        <w:bottom w:val="single" w:sz="18" w:space="24" w:color="auto"/>
        <w:right w:val="single" w:sz="18"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4828" w:rsidRDefault="009B4828" w:rsidP="007C1BC4">
      <w:r>
        <w:separator/>
      </w:r>
    </w:p>
  </w:endnote>
  <w:endnote w:type="continuationSeparator" w:id="0">
    <w:p w:rsidR="009B4828" w:rsidRDefault="009B4828" w:rsidP="007C1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1908592"/>
      <w:docPartObj>
        <w:docPartGallery w:val="Page Numbers (Bottom of Page)"/>
        <w:docPartUnique/>
      </w:docPartObj>
    </w:sdtPr>
    <w:sdtEndPr/>
    <w:sdtContent>
      <w:sdt>
        <w:sdtPr>
          <w:id w:val="1728636285"/>
          <w:docPartObj>
            <w:docPartGallery w:val="Page Numbers (Top of Page)"/>
            <w:docPartUnique/>
          </w:docPartObj>
        </w:sdtPr>
        <w:sdtEndPr/>
        <w:sdtContent>
          <w:p w:rsidR="009B4828" w:rsidRDefault="009B4828">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377556">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77556">
              <w:rPr>
                <w:b/>
                <w:bCs/>
                <w:noProof/>
              </w:rPr>
              <w:t>2</w:t>
            </w:r>
            <w:r>
              <w:rPr>
                <w:b/>
                <w:bCs/>
                <w:sz w:val="24"/>
                <w:szCs w:val="24"/>
              </w:rPr>
              <w:fldChar w:fldCharType="end"/>
            </w:r>
          </w:p>
        </w:sdtContent>
      </w:sdt>
    </w:sdtContent>
  </w:sdt>
  <w:p w:rsidR="009B4828" w:rsidRDefault="009B48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4828" w:rsidRDefault="009B4828" w:rsidP="007C1BC4">
      <w:r>
        <w:separator/>
      </w:r>
    </w:p>
  </w:footnote>
  <w:footnote w:type="continuationSeparator" w:id="0">
    <w:p w:rsidR="009B4828" w:rsidRDefault="009B4828" w:rsidP="007C1B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14C6A"/>
    <w:multiLevelType w:val="hybridMultilevel"/>
    <w:tmpl w:val="90C8EA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0E963FD6"/>
    <w:multiLevelType w:val="hybridMultilevel"/>
    <w:tmpl w:val="4EDA59A4"/>
    <w:lvl w:ilvl="0" w:tplc="1C090001">
      <w:start w:val="1"/>
      <w:numFmt w:val="bullet"/>
      <w:lvlText w:val=""/>
      <w:lvlJc w:val="left"/>
      <w:pPr>
        <w:ind w:left="360" w:hanging="360"/>
      </w:pPr>
      <w:rPr>
        <w:rFonts w:ascii="Symbol" w:hAnsi="Symbol" w:hint="default"/>
      </w:rPr>
    </w:lvl>
    <w:lvl w:ilvl="1" w:tplc="1C090001">
      <w:start w:val="1"/>
      <w:numFmt w:val="bullet"/>
      <w:lvlText w:val=""/>
      <w:lvlJc w:val="left"/>
      <w:pPr>
        <w:ind w:left="360" w:hanging="360"/>
      </w:pPr>
      <w:rPr>
        <w:rFonts w:ascii="Symbol" w:hAnsi="Symbol"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0FC35484"/>
    <w:multiLevelType w:val="hybridMultilevel"/>
    <w:tmpl w:val="04D604DC"/>
    <w:lvl w:ilvl="0" w:tplc="68F4B3B0">
      <w:start w:val="1"/>
      <w:numFmt w:val="bullet"/>
      <w:lvlText w:val=""/>
      <w:lvlJc w:val="left"/>
      <w:pPr>
        <w:ind w:left="720" w:hanging="360"/>
      </w:pPr>
      <w:rPr>
        <w:rFonts w:ascii="Symbol" w:hAnsi="Symbol" w:hint="default"/>
      </w:rPr>
    </w:lvl>
    <w:lvl w:ilvl="1" w:tplc="F51E2AF6">
      <w:start w:val="1"/>
      <w:numFmt w:val="bullet"/>
      <w:lvlText w:val="o"/>
      <w:lvlJc w:val="left"/>
      <w:pPr>
        <w:ind w:left="1440" w:hanging="360"/>
      </w:pPr>
      <w:rPr>
        <w:rFonts w:ascii="Courier New" w:hAnsi="Courier New" w:cs="Courier New" w:hint="default"/>
      </w:rPr>
    </w:lvl>
    <w:lvl w:ilvl="2" w:tplc="71205AA8">
      <w:start w:val="1"/>
      <w:numFmt w:val="bullet"/>
      <w:lvlText w:val=""/>
      <w:lvlJc w:val="left"/>
      <w:pPr>
        <w:ind w:left="2160" w:hanging="360"/>
      </w:pPr>
      <w:rPr>
        <w:rFonts w:ascii="Wingdings" w:hAnsi="Wingdings" w:hint="default"/>
      </w:rPr>
    </w:lvl>
    <w:lvl w:ilvl="3" w:tplc="58BEE212">
      <w:start w:val="1"/>
      <w:numFmt w:val="bullet"/>
      <w:lvlText w:val=""/>
      <w:lvlJc w:val="left"/>
      <w:pPr>
        <w:ind w:left="2880" w:hanging="360"/>
      </w:pPr>
      <w:rPr>
        <w:rFonts w:ascii="Symbol" w:hAnsi="Symbol" w:hint="default"/>
      </w:rPr>
    </w:lvl>
    <w:lvl w:ilvl="4" w:tplc="64522C8E">
      <w:start w:val="1"/>
      <w:numFmt w:val="bullet"/>
      <w:lvlText w:val="o"/>
      <w:lvlJc w:val="left"/>
      <w:pPr>
        <w:ind w:left="3600" w:hanging="360"/>
      </w:pPr>
      <w:rPr>
        <w:rFonts w:ascii="Courier New" w:hAnsi="Courier New" w:cs="Courier New" w:hint="default"/>
      </w:rPr>
    </w:lvl>
    <w:lvl w:ilvl="5" w:tplc="C65432E6">
      <w:start w:val="1"/>
      <w:numFmt w:val="bullet"/>
      <w:lvlText w:val=""/>
      <w:lvlJc w:val="left"/>
      <w:pPr>
        <w:ind w:left="4320" w:hanging="360"/>
      </w:pPr>
      <w:rPr>
        <w:rFonts w:ascii="Wingdings" w:hAnsi="Wingdings" w:hint="default"/>
      </w:rPr>
    </w:lvl>
    <w:lvl w:ilvl="6" w:tplc="FF64259A">
      <w:start w:val="1"/>
      <w:numFmt w:val="bullet"/>
      <w:lvlText w:val=""/>
      <w:lvlJc w:val="left"/>
      <w:pPr>
        <w:ind w:left="5040" w:hanging="360"/>
      </w:pPr>
      <w:rPr>
        <w:rFonts w:ascii="Symbol" w:hAnsi="Symbol" w:hint="default"/>
      </w:rPr>
    </w:lvl>
    <w:lvl w:ilvl="7" w:tplc="F6468D90">
      <w:start w:val="1"/>
      <w:numFmt w:val="bullet"/>
      <w:lvlText w:val="o"/>
      <w:lvlJc w:val="left"/>
      <w:pPr>
        <w:ind w:left="5760" w:hanging="360"/>
      </w:pPr>
      <w:rPr>
        <w:rFonts w:ascii="Courier New" w:hAnsi="Courier New" w:cs="Courier New" w:hint="default"/>
      </w:rPr>
    </w:lvl>
    <w:lvl w:ilvl="8" w:tplc="5422FA6A">
      <w:start w:val="1"/>
      <w:numFmt w:val="bullet"/>
      <w:lvlText w:val=""/>
      <w:lvlJc w:val="left"/>
      <w:pPr>
        <w:ind w:left="6480" w:hanging="360"/>
      </w:pPr>
      <w:rPr>
        <w:rFonts w:ascii="Wingdings" w:hAnsi="Wingdings" w:hint="default"/>
      </w:rPr>
    </w:lvl>
  </w:abstractNum>
  <w:abstractNum w:abstractNumId="3">
    <w:nsid w:val="19B73560"/>
    <w:multiLevelType w:val="hybridMultilevel"/>
    <w:tmpl w:val="C5A6F760"/>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
    <w:nsid w:val="1D79575C"/>
    <w:multiLevelType w:val="hybridMultilevel"/>
    <w:tmpl w:val="985C682C"/>
    <w:lvl w:ilvl="0" w:tplc="1C09000F">
      <w:start w:val="1"/>
      <w:numFmt w:val="decimal"/>
      <w:lvlText w:val="%1."/>
      <w:lvlJc w:val="left"/>
      <w:pPr>
        <w:ind w:left="36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5">
    <w:nsid w:val="24AD2A89"/>
    <w:multiLevelType w:val="hybridMultilevel"/>
    <w:tmpl w:val="BCA6C0A4"/>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nsid w:val="2F917EEB"/>
    <w:multiLevelType w:val="hybridMultilevel"/>
    <w:tmpl w:val="E25C9DDA"/>
    <w:lvl w:ilvl="0" w:tplc="9620DDA0">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nsid w:val="348B7EBB"/>
    <w:multiLevelType w:val="hybridMultilevel"/>
    <w:tmpl w:val="29B8E1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nsid w:val="38FD0941"/>
    <w:multiLevelType w:val="hybridMultilevel"/>
    <w:tmpl w:val="6224610E"/>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nsid w:val="4CB574B0"/>
    <w:multiLevelType w:val="hybridMultilevel"/>
    <w:tmpl w:val="728031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D5E5D81"/>
    <w:multiLevelType w:val="hybridMultilevel"/>
    <w:tmpl w:val="23BADE28"/>
    <w:lvl w:ilvl="0" w:tplc="1C090003">
      <w:start w:val="1"/>
      <w:numFmt w:val="bullet"/>
      <w:lvlText w:val="o"/>
      <w:lvlJc w:val="left"/>
      <w:pPr>
        <w:ind w:left="1440" w:hanging="360"/>
      </w:pPr>
      <w:rPr>
        <w:rFonts w:ascii="Courier New" w:hAnsi="Courier New" w:cs="Courier New" w:hint="default"/>
      </w:rPr>
    </w:lvl>
    <w:lvl w:ilvl="1" w:tplc="1C090003">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1">
    <w:nsid w:val="506A2BB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25C5177"/>
    <w:multiLevelType w:val="multilevel"/>
    <w:tmpl w:val="808E248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nsid w:val="5A640808"/>
    <w:multiLevelType w:val="hybridMultilevel"/>
    <w:tmpl w:val="89F04428"/>
    <w:lvl w:ilvl="0" w:tplc="C098297A">
      <w:start w:val="1"/>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nsid w:val="6720056D"/>
    <w:multiLevelType w:val="hybridMultilevel"/>
    <w:tmpl w:val="9A5C335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nsid w:val="767403F1"/>
    <w:multiLevelType w:val="hybridMultilevel"/>
    <w:tmpl w:val="B17EC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8"/>
  </w:num>
  <w:num w:numId="4">
    <w:abstractNumId w:val="7"/>
  </w:num>
  <w:num w:numId="5">
    <w:abstractNumId w:val="15"/>
  </w:num>
  <w:num w:numId="6">
    <w:abstractNumId w:val="10"/>
  </w:num>
  <w:num w:numId="7">
    <w:abstractNumId w:val="0"/>
  </w:num>
  <w:num w:numId="8">
    <w:abstractNumId w:val="4"/>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3"/>
  </w:num>
  <w:num w:numId="13">
    <w:abstractNumId w:val="13"/>
  </w:num>
  <w:num w:numId="14">
    <w:abstractNumId w:val="14"/>
  </w:num>
  <w:num w:numId="15">
    <w:abstractNumId w:val="12"/>
  </w:num>
  <w:num w:numId="16">
    <w:abstractNumId w:val="6"/>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BC4"/>
    <w:rsid w:val="00017A18"/>
    <w:rsid w:val="00042532"/>
    <w:rsid w:val="00043D1B"/>
    <w:rsid w:val="00056F49"/>
    <w:rsid w:val="000642C1"/>
    <w:rsid w:val="00067192"/>
    <w:rsid w:val="00071F9B"/>
    <w:rsid w:val="00086949"/>
    <w:rsid w:val="00097DF6"/>
    <w:rsid w:val="000A1080"/>
    <w:rsid w:val="000A7FF2"/>
    <w:rsid w:val="000B3F0E"/>
    <w:rsid w:val="000B54C5"/>
    <w:rsid w:val="000C06D0"/>
    <w:rsid w:val="000C33BD"/>
    <w:rsid w:val="000C5B10"/>
    <w:rsid w:val="000D17B1"/>
    <w:rsid w:val="001053D2"/>
    <w:rsid w:val="00106752"/>
    <w:rsid w:val="001077A5"/>
    <w:rsid w:val="001129F1"/>
    <w:rsid w:val="00113910"/>
    <w:rsid w:val="00113D24"/>
    <w:rsid w:val="00134190"/>
    <w:rsid w:val="00140E16"/>
    <w:rsid w:val="00141DB0"/>
    <w:rsid w:val="00150D5D"/>
    <w:rsid w:val="00150E41"/>
    <w:rsid w:val="001540D6"/>
    <w:rsid w:val="001547CD"/>
    <w:rsid w:val="001608A2"/>
    <w:rsid w:val="00176C92"/>
    <w:rsid w:val="00187760"/>
    <w:rsid w:val="001929B6"/>
    <w:rsid w:val="00193CB4"/>
    <w:rsid w:val="00194056"/>
    <w:rsid w:val="00194A5C"/>
    <w:rsid w:val="001B4FBB"/>
    <w:rsid w:val="001C3AD5"/>
    <w:rsid w:val="001E525A"/>
    <w:rsid w:val="001F4E84"/>
    <w:rsid w:val="00206250"/>
    <w:rsid w:val="00206C3B"/>
    <w:rsid w:val="00217525"/>
    <w:rsid w:val="00224E62"/>
    <w:rsid w:val="00226F2B"/>
    <w:rsid w:val="0025350F"/>
    <w:rsid w:val="002808E5"/>
    <w:rsid w:val="0028208D"/>
    <w:rsid w:val="00283756"/>
    <w:rsid w:val="00287B6D"/>
    <w:rsid w:val="00296029"/>
    <w:rsid w:val="002C0A3A"/>
    <w:rsid w:val="002C67C1"/>
    <w:rsid w:val="002E1CEF"/>
    <w:rsid w:val="002E26DC"/>
    <w:rsid w:val="002E7BE1"/>
    <w:rsid w:val="003054AF"/>
    <w:rsid w:val="0031127F"/>
    <w:rsid w:val="0031132A"/>
    <w:rsid w:val="003178F3"/>
    <w:rsid w:val="003305DC"/>
    <w:rsid w:val="003322D5"/>
    <w:rsid w:val="0034111D"/>
    <w:rsid w:val="00344968"/>
    <w:rsid w:val="003456B9"/>
    <w:rsid w:val="003471D2"/>
    <w:rsid w:val="003512D5"/>
    <w:rsid w:val="00362A14"/>
    <w:rsid w:val="00377556"/>
    <w:rsid w:val="003928AB"/>
    <w:rsid w:val="00396AF5"/>
    <w:rsid w:val="003A1FCE"/>
    <w:rsid w:val="003A25E6"/>
    <w:rsid w:val="003B0228"/>
    <w:rsid w:val="003B5076"/>
    <w:rsid w:val="003F2C21"/>
    <w:rsid w:val="003F530A"/>
    <w:rsid w:val="003F5B2F"/>
    <w:rsid w:val="00406875"/>
    <w:rsid w:val="00406A9B"/>
    <w:rsid w:val="004078C8"/>
    <w:rsid w:val="0041327E"/>
    <w:rsid w:val="004233E3"/>
    <w:rsid w:val="004264CE"/>
    <w:rsid w:val="00427758"/>
    <w:rsid w:val="00432C38"/>
    <w:rsid w:val="00435A8B"/>
    <w:rsid w:val="004471DD"/>
    <w:rsid w:val="00456341"/>
    <w:rsid w:val="004857F9"/>
    <w:rsid w:val="004949F2"/>
    <w:rsid w:val="0049577F"/>
    <w:rsid w:val="004A62DA"/>
    <w:rsid w:val="004B25C3"/>
    <w:rsid w:val="004B394B"/>
    <w:rsid w:val="004B7B7B"/>
    <w:rsid w:val="004C3D0C"/>
    <w:rsid w:val="004D7A81"/>
    <w:rsid w:val="004F67C2"/>
    <w:rsid w:val="005013FD"/>
    <w:rsid w:val="005039CE"/>
    <w:rsid w:val="005055AC"/>
    <w:rsid w:val="00511983"/>
    <w:rsid w:val="005235A7"/>
    <w:rsid w:val="00526AE5"/>
    <w:rsid w:val="00531B58"/>
    <w:rsid w:val="00553D31"/>
    <w:rsid w:val="00564A98"/>
    <w:rsid w:val="00564B50"/>
    <w:rsid w:val="00570C17"/>
    <w:rsid w:val="005755D1"/>
    <w:rsid w:val="00585CBC"/>
    <w:rsid w:val="00597097"/>
    <w:rsid w:val="00597931"/>
    <w:rsid w:val="005B15BB"/>
    <w:rsid w:val="005E4D03"/>
    <w:rsid w:val="005F085A"/>
    <w:rsid w:val="005F1491"/>
    <w:rsid w:val="005F1F99"/>
    <w:rsid w:val="005F2EF0"/>
    <w:rsid w:val="005F7F2B"/>
    <w:rsid w:val="006331E9"/>
    <w:rsid w:val="00650F35"/>
    <w:rsid w:val="00656302"/>
    <w:rsid w:val="0068429E"/>
    <w:rsid w:val="0068432E"/>
    <w:rsid w:val="006871B6"/>
    <w:rsid w:val="0069223B"/>
    <w:rsid w:val="006922E9"/>
    <w:rsid w:val="00693CF0"/>
    <w:rsid w:val="006970F8"/>
    <w:rsid w:val="006A1529"/>
    <w:rsid w:val="006A287D"/>
    <w:rsid w:val="006A2CBC"/>
    <w:rsid w:val="006C1DA0"/>
    <w:rsid w:val="006C21D2"/>
    <w:rsid w:val="006C24B6"/>
    <w:rsid w:val="006C634A"/>
    <w:rsid w:val="006D3206"/>
    <w:rsid w:val="006F5E87"/>
    <w:rsid w:val="006F666E"/>
    <w:rsid w:val="00712932"/>
    <w:rsid w:val="00732A11"/>
    <w:rsid w:val="00746ABF"/>
    <w:rsid w:val="007515F2"/>
    <w:rsid w:val="00756E0B"/>
    <w:rsid w:val="007605CE"/>
    <w:rsid w:val="00763185"/>
    <w:rsid w:val="00793F3B"/>
    <w:rsid w:val="00796DFF"/>
    <w:rsid w:val="007A254E"/>
    <w:rsid w:val="007A477F"/>
    <w:rsid w:val="007A4D2A"/>
    <w:rsid w:val="007C1BC4"/>
    <w:rsid w:val="007C6778"/>
    <w:rsid w:val="007D14CC"/>
    <w:rsid w:val="007D297E"/>
    <w:rsid w:val="007D4856"/>
    <w:rsid w:val="007D6AF1"/>
    <w:rsid w:val="0081276D"/>
    <w:rsid w:val="00843F38"/>
    <w:rsid w:val="008450F0"/>
    <w:rsid w:val="00851783"/>
    <w:rsid w:val="00882F0B"/>
    <w:rsid w:val="0089584F"/>
    <w:rsid w:val="008B69CE"/>
    <w:rsid w:val="008D090D"/>
    <w:rsid w:val="008E44F7"/>
    <w:rsid w:val="008E5DC1"/>
    <w:rsid w:val="008F39B6"/>
    <w:rsid w:val="008F3EED"/>
    <w:rsid w:val="008F679D"/>
    <w:rsid w:val="00900C7B"/>
    <w:rsid w:val="00910844"/>
    <w:rsid w:val="009202B7"/>
    <w:rsid w:val="0092407D"/>
    <w:rsid w:val="009365F6"/>
    <w:rsid w:val="00941E88"/>
    <w:rsid w:val="00956619"/>
    <w:rsid w:val="00961079"/>
    <w:rsid w:val="0096158B"/>
    <w:rsid w:val="009677E0"/>
    <w:rsid w:val="009732DE"/>
    <w:rsid w:val="00987F82"/>
    <w:rsid w:val="009938D1"/>
    <w:rsid w:val="009A30B6"/>
    <w:rsid w:val="009B05D7"/>
    <w:rsid w:val="009B459A"/>
    <w:rsid w:val="009B4828"/>
    <w:rsid w:val="009F42B1"/>
    <w:rsid w:val="00A050A7"/>
    <w:rsid w:val="00A22D14"/>
    <w:rsid w:val="00A4182C"/>
    <w:rsid w:val="00A431FB"/>
    <w:rsid w:val="00A44FFB"/>
    <w:rsid w:val="00A53C58"/>
    <w:rsid w:val="00A55511"/>
    <w:rsid w:val="00A61DD2"/>
    <w:rsid w:val="00A71CFB"/>
    <w:rsid w:val="00A86AD2"/>
    <w:rsid w:val="00A927B5"/>
    <w:rsid w:val="00AA60C6"/>
    <w:rsid w:val="00AB0726"/>
    <w:rsid w:val="00AD69D9"/>
    <w:rsid w:val="00AE4A51"/>
    <w:rsid w:val="00AE504F"/>
    <w:rsid w:val="00AF344A"/>
    <w:rsid w:val="00AF637F"/>
    <w:rsid w:val="00AF7E34"/>
    <w:rsid w:val="00B00EF5"/>
    <w:rsid w:val="00B01B31"/>
    <w:rsid w:val="00B028D2"/>
    <w:rsid w:val="00B30AA6"/>
    <w:rsid w:val="00B358F0"/>
    <w:rsid w:val="00B61A43"/>
    <w:rsid w:val="00B73374"/>
    <w:rsid w:val="00B87F41"/>
    <w:rsid w:val="00B90CD0"/>
    <w:rsid w:val="00B95C95"/>
    <w:rsid w:val="00BD243D"/>
    <w:rsid w:val="00BD3DC5"/>
    <w:rsid w:val="00BE5E8D"/>
    <w:rsid w:val="00C02094"/>
    <w:rsid w:val="00C06CCC"/>
    <w:rsid w:val="00C1493F"/>
    <w:rsid w:val="00C22EC9"/>
    <w:rsid w:val="00C32CDC"/>
    <w:rsid w:val="00C5468E"/>
    <w:rsid w:val="00C5667A"/>
    <w:rsid w:val="00C91CBB"/>
    <w:rsid w:val="00CB37D9"/>
    <w:rsid w:val="00CE172B"/>
    <w:rsid w:val="00D00C8A"/>
    <w:rsid w:val="00D04BF8"/>
    <w:rsid w:val="00D159A1"/>
    <w:rsid w:val="00D231C4"/>
    <w:rsid w:val="00D7026B"/>
    <w:rsid w:val="00D81107"/>
    <w:rsid w:val="00D834C6"/>
    <w:rsid w:val="00D91006"/>
    <w:rsid w:val="00D93CA0"/>
    <w:rsid w:val="00DA198D"/>
    <w:rsid w:val="00DE27DF"/>
    <w:rsid w:val="00DE576D"/>
    <w:rsid w:val="00DF29B4"/>
    <w:rsid w:val="00E03B96"/>
    <w:rsid w:val="00E14D2F"/>
    <w:rsid w:val="00E20982"/>
    <w:rsid w:val="00E3476D"/>
    <w:rsid w:val="00E65304"/>
    <w:rsid w:val="00E67678"/>
    <w:rsid w:val="00E75FB9"/>
    <w:rsid w:val="00E8179B"/>
    <w:rsid w:val="00E83A15"/>
    <w:rsid w:val="00E86B45"/>
    <w:rsid w:val="00E91EBC"/>
    <w:rsid w:val="00E92569"/>
    <w:rsid w:val="00EA023E"/>
    <w:rsid w:val="00EA13B0"/>
    <w:rsid w:val="00EA6401"/>
    <w:rsid w:val="00EB0566"/>
    <w:rsid w:val="00EB3C95"/>
    <w:rsid w:val="00EC1AAB"/>
    <w:rsid w:val="00ED262E"/>
    <w:rsid w:val="00ED456E"/>
    <w:rsid w:val="00ED5903"/>
    <w:rsid w:val="00ED5F28"/>
    <w:rsid w:val="00EE0FE5"/>
    <w:rsid w:val="00EE6473"/>
    <w:rsid w:val="00F02518"/>
    <w:rsid w:val="00F160DC"/>
    <w:rsid w:val="00F258CB"/>
    <w:rsid w:val="00F34DA0"/>
    <w:rsid w:val="00F47ECE"/>
    <w:rsid w:val="00F507B9"/>
    <w:rsid w:val="00F65708"/>
    <w:rsid w:val="00FA50B0"/>
    <w:rsid w:val="00FA6EA8"/>
    <w:rsid w:val="00FC6232"/>
    <w:rsid w:val="00FE332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1BC4"/>
    <w:pPr>
      <w:spacing w:after="0" w:line="240" w:lineRule="auto"/>
    </w:pPr>
    <w:rPr>
      <w:rFonts w:ascii="Arial" w:eastAsia="Times New Roman" w:hAnsi="Arial" w:cs="Arial"/>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7C1BC4"/>
    <w:pPr>
      <w:jc w:val="center"/>
    </w:pPr>
    <w:rPr>
      <w:rFonts w:cs="Times New Roman"/>
      <w:b/>
      <w:bCs/>
    </w:rPr>
  </w:style>
  <w:style w:type="character" w:customStyle="1" w:styleId="TitleChar">
    <w:name w:val="Title Char"/>
    <w:basedOn w:val="DefaultParagraphFont"/>
    <w:link w:val="Title"/>
    <w:rsid w:val="007C1BC4"/>
    <w:rPr>
      <w:rFonts w:ascii="Arial" w:eastAsia="Times New Roman" w:hAnsi="Arial" w:cs="Times New Roman"/>
      <w:b/>
      <w:bCs/>
      <w:sz w:val="20"/>
      <w:szCs w:val="20"/>
      <w:lang w:val="en-US"/>
    </w:rPr>
  </w:style>
  <w:style w:type="paragraph" w:styleId="ListParagraph">
    <w:name w:val="List Paragraph"/>
    <w:aliases w:val="List heading 1"/>
    <w:basedOn w:val="Normal"/>
    <w:link w:val="ListParagraphChar"/>
    <w:uiPriority w:val="34"/>
    <w:qFormat/>
    <w:rsid w:val="007C1BC4"/>
    <w:pPr>
      <w:spacing w:after="200" w:line="276" w:lineRule="auto"/>
      <w:ind w:left="720"/>
      <w:contextualSpacing/>
    </w:pPr>
    <w:rPr>
      <w:rFonts w:ascii="Calibri" w:eastAsia="Calibri" w:hAnsi="Calibri" w:cs="Times New Roman"/>
      <w:sz w:val="22"/>
      <w:szCs w:val="22"/>
    </w:rPr>
  </w:style>
  <w:style w:type="paragraph" w:styleId="Header">
    <w:name w:val="header"/>
    <w:basedOn w:val="Normal"/>
    <w:link w:val="HeaderChar"/>
    <w:uiPriority w:val="99"/>
    <w:unhideWhenUsed/>
    <w:rsid w:val="007C1BC4"/>
    <w:pPr>
      <w:tabs>
        <w:tab w:val="center" w:pos="4513"/>
        <w:tab w:val="right" w:pos="9026"/>
      </w:tabs>
    </w:pPr>
  </w:style>
  <w:style w:type="character" w:customStyle="1" w:styleId="HeaderChar">
    <w:name w:val="Header Char"/>
    <w:basedOn w:val="DefaultParagraphFont"/>
    <w:link w:val="Header"/>
    <w:uiPriority w:val="99"/>
    <w:rsid w:val="007C1BC4"/>
    <w:rPr>
      <w:rFonts w:ascii="Arial" w:eastAsia="Times New Roman" w:hAnsi="Arial" w:cs="Arial"/>
      <w:sz w:val="20"/>
      <w:szCs w:val="20"/>
      <w:lang w:val="en-US"/>
    </w:rPr>
  </w:style>
  <w:style w:type="paragraph" w:styleId="Footer">
    <w:name w:val="footer"/>
    <w:basedOn w:val="Normal"/>
    <w:link w:val="FooterChar"/>
    <w:uiPriority w:val="99"/>
    <w:unhideWhenUsed/>
    <w:rsid w:val="007C1BC4"/>
    <w:pPr>
      <w:tabs>
        <w:tab w:val="center" w:pos="4513"/>
        <w:tab w:val="right" w:pos="9026"/>
      </w:tabs>
    </w:pPr>
  </w:style>
  <w:style w:type="character" w:customStyle="1" w:styleId="FooterChar">
    <w:name w:val="Footer Char"/>
    <w:basedOn w:val="DefaultParagraphFont"/>
    <w:link w:val="Footer"/>
    <w:uiPriority w:val="99"/>
    <w:rsid w:val="007C1BC4"/>
    <w:rPr>
      <w:rFonts w:ascii="Arial" w:eastAsia="Times New Roman" w:hAnsi="Arial" w:cs="Arial"/>
      <w:sz w:val="20"/>
      <w:szCs w:val="20"/>
      <w:lang w:val="en-US"/>
    </w:rPr>
  </w:style>
  <w:style w:type="character" w:styleId="Hyperlink">
    <w:name w:val="Hyperlink"/>
    <w:basedOn w:val="DefaultParagraphFont"/>
    <w:uiPriority w:val="99"/>
    <w:unhideWhenUsed/>
    <w:rsid w:val="00E8179B"/>
    <w:rPr>
      <w:color w:val="0563C1" w:themeColor="hyperlink"/>
      <w:u w:val="single"/>
    </w:rPr>
  </w:style>
  <w:style w:type="character" w:customStyle="1" w:styleId="UnresolvedMention1">
    <w:name w:val="Unresolved Mention1"/>
    <w:basedOn w:val="DefaultParagraphFont"/>
    <w:uiPriority w:val="99"/>
    <w:semiHidden/>
    <w:unhideWhenUsed/>
    <w:rsid w:val="00BD243D"/>
    <w:rPr>
      <w:color w:val="808080"/>
      <w:shd w:val="clear" w:color="auto" w:fill="E6E6E6"/>
    </w:rPr>
  </w:style>
  <w:style w:type="table" w:styleId="TableGrid">
    <w:name w:val="Table Grid"/>
    <w:basedOn w:val="TableNormal"/>
    <w:uiPriority w:val="59"/>
    <w:unhideWhenUsed/>
    <w:rsid w:val="001547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List heading 1 Char"/>
    <w:link w:val="ListParagraph"/>
    <w:uiPriority w:val="34"/>
    <w:locked/>
    <w:rsid w:val="00187760"/>
    <w:rPr>
      <w:rFonts w:ascii="Calibri" w:eastAsia="Calibri" w:hAnsi="Calibri" w:cs="Times New Roman"/>
      <w:lang w:val="en-US"/>
    </w:rPr>
  </w:style>
  <w:style w:type="paragraph" w:styleId="NoSpacing">
    <w:name w:val="No Spacing"/>
    <w:uiPriority w:val="1"/>
    <w:qFormat/>
    <w:rsid w:val="003F5B2F"/>
    <w:pPr>
      <w:spacing w:after="0" w:line="240" w:lineRule="auto"/>
    </w:pPr>
    <w:rPr>
      <w:rFonts w:ascii="Calibri" w:eastAsia="Calibri" w:hAnsi="Calibri" w:cs="Times New Roman"/>
    </w:rPr>
  </w:style>
  <w:style w:type="paragraph" w:customStyle="1" w:styleId="PS2">
    <w:name w:val="PS2"/>
    <w:basedOn w:val="Normal"/>
    <w:rsid w:val="001608A2"/>
    <w:pPr>
      <w:keepNext/>
      <w:widowControl w:val="0"/>
      <w:autoSpaceDE w:val="0"/>
      <w:autoSpaceDN w:val="0"/>
      <w:adjustRightInd w:val="0"/>
      <w:spacing w:after="120" w:line="276" w:lineRule="auto"/>
      <w:jc w:val="both"/>
    </w:pPr>
    <w:rPr>
      <w:b/>
      <w:bCs/>
      <w:lang w:val="en-GB"/>
    </w:rPr>
  </w:style>
  <w:style w:type="paragraph" w:customStyle="1" w:styleId="Default">
    <w:name w:val="Default"/>
    <w:rsid w:val="001608A2"/>
    <w:pPr>
      <w:autoSpaceDE w:val="0"/>
      <w:autoSpaceDN w:val="0"/>
      <w:adjustRightInd w:val="0"/>
      <w:spacing w:after="120" w:line="276" w:lineRule="auto"/>
    </w:pPr>
    <w:rPr>
      <w:rFonts w:ascii="Arial" w:eastAsia="Times New Roman" w:hAnsi="Arial" w:cs="Arial"/>
      <w:color w:val="000000"/>
      <w:sz w:val="24"/>
      <w:szCs w:val="24"/>
      <w:lang w:val="en-US"/>
    </w:rPr>
  </w:style>
  <w:style w:type="paragraph" w:styleId="BalloonText">
    <w:name w:val="Balloon Text"/>
    <w:basedOn w:val="Normal"/>
    <w:link w:val="BalloonTextChar"/>
    <w:uiPriority w:val="99"/>
    <w:semiHidden/>
    <w:unhideWhenUsed/>
    <w:rsid w:val="00A22D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2D14"/>
    <w:rPr>
      <w:rFonts w:ascii="Segoe UI" w:eastAsia="Times New Roman" w:hAnsi="Segoe UI" w:cs="Segoe UI"/>
      <w:sz w:val="18"/>
      <w:szCs w:val="1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1BC4"/>
    <w:pPr>
      <w:spacing w:after="0" w:line="240" w:lineRule="auto"/>
    </w:pPr>
    <w:rPr>
      <w:rFonts w:ascii="Arial" w:eastAsia="Times New Roman" w:hAnsi="Arial" w:cs="Arial"/>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7C1BC4"/>
    <w:pPr>
      <w:jc w:val="center"/>
    </w:pPr>
    <w:rPr>
      <w:rFonts w:cs="Times New Roman"/>
      <w:b/>
      <w:bCs/>
    </w:rPr>
  </w:style>
  <w:style w:type="character" w:customStyle="1" w:styleId="TitleChar">
    <w:name w:val="Title Char"/>
    <w:basedOn w:val="DefaultParagraphFont"/>
    <w:link w:val="Title"/>
    <w:rsid w:val="007C1BC4"/>
    <w:rPr>
      <w:rFonts w:ascii="Arial" w:eastAsia="Times New Roman" w:hAnsi="Arial" w:cs="Times New Roman"/>
      <w:b/>
      <w:bCs/>
      <w:sz w:val="20"/>
      <w:szCs w:val="20"/>
      <w:lang w:val="en-US"/>
    </w:rPr>
  </w:style>
  <w:style w:type="paragraph" w:styleId="ListParagraph">
    <w:name w:val="List Paragraph"/>
    <w:aliases w:val="List heading 1"/>
    <w:basedOn w:val="Normal"/>
    <w:link w:val="ListParagraphChar"/>
    <w:uiPriority w:val="34"/>
    <w:qFormat/>
    <w:rsid w:val="007C1BC4"/>
    <w:pPr>
      <w:spacing w:after="200" w:line="276" w:lineRule="auto"/>
      <w:ind w:left="720"/>
      <w:contextualSpacing/>
    </w:pPr>
    <w:rPr>
      <w:rFonts w:ascii="Calibri" w:eastAsia="Calibri" w:hAnsi="Calibri" w:cs="Times New Roman"/>
      <w:sz w:val="22"/>
      <w:szCs w:val="22"/>
    </w:rPr>
  </w:style>
  <w:style w:type="paragraph" w:styleId="Header">
    <w:name w:val="header"/>
    <w:basedOn w:val="Normal"/>
    <w:link w:val="HeaderChar"/>
    <w:uiPriority w:val="99"/>
    <w:unhideWhenUsed/>
    <w:rsid w:val="007C1BC4"/>
    <w:pPr>
      <w:tabs>
        <w:tab w:val="center" w:pos="4513"/>
        <w:tab w:val="right" w:pos="9026"/>
      </w:tabs>
    </w:pPr>
  </w:style>
  <w:style w:type="character" w:customStyle="1" w:styleId="HeaderChar">
    <w:name w:val="Header Char"/>
    <w:basedOn w:val="DefaultParagraphFont"/>
    <w:link w:val="Header"/>
    <w:uiPriority w:val="99"/>
    <w:rsid w:val="007C1BC4"/>
    <w:rPr>
      <w:rFonts w:ascii="Arial" w:eastAsia="Times New Roman" w:hAnsi="Arial" w:cs="Arial"/>
      <w:sz w:val="20"/>
      <w:szCs w:val="20"/>
      <w:lang w:val="en-US"/>
    </w:rPr>
  </w:style>
  <w:style w:type="paragraph" w:styleId="Footer">
    <w:name w:val="footer"/>
    <w:basedOn w:val="Normal"/>
    <w:link w:val="FooterChar"/>
    <w:uiPriority w:val="99"/>
    <w:unhideWhenUsed/>
    <w:rsid w:val="007C1BC4"/>
    <w:pPr>
      <w:tabs>
        <w:tab w:val="center" w:pos="4513"/>
        <w:tab w:val="right" w:pos="9026"/>
      </w:tabs>
    </w:pPr>
  </w:style>
  <w:style w:type="character" w:customStyle="1" w:styleId="FooterChar">
    <w:name w:val="Footer Char"/>
    <w:basedOn w:val="DefaultParagraphFont"/>
    <w:link w:val="Footer"/>
    <w:uiPriority w:val="99"/>
    <w:rsid w:val="007C1BC4"/>
    <w:rPr>
      <w:rFonts w:ascii="Arial" w:eastAsia="Times New Roman" w:hAnsi="Arial" w:cs="Arial"/>
      <w:sz w:val="20"/>
      <w:szCs w:val="20"/>
      <w:lang w:val="en-US"/>
    </w:rPr>
  </w:style>
  <w:style w:type="character" w:styleId="Hyperlink">
    <w:name w:val="Hyperlink"/>
    <w:basedOn w:val="DefaultParagraphFont"/>
    <w:uiPriority w:val="99"/>
    <w:unhideWhenUsed/>
    <w:rsid w:val="00E8179B"/>
    <w:rPr>
      <w:color w:val="0563C1" w:themeColor="hyperlink"/>
      <w:u w:val="single"/>
    </w:rPr>
  </w:style>
  <w:style w:type="character" w:customStyle="1" w:styleId="UnresolvedMention1">
    <w:name w:val="Unresolved Mention1"/>
    <w:basedOn w:val="DefaultParagraphFont"/>
    <w:uiPriority w:val="99"/>
    <w:semiHidden/>
    <w:unhideWhenUsed/>
    <w:rsid w:val="00BD243D"/>
    <w:rPr>
      <w:color w:val="808080"/>
      <w:shd w:val="clear" w:color="auto" w:fill="E6E6E6"/>
    </w:rPr>
  </w:style>
  <w:style w:type="table" w:styleId="TableGrid">
    <w:name w:val="Table Grid"/>
    <w:basedOn w:val="TableNormal"/>
    <w:uiPriority w:val="59"/>
    <w:unhideWhenUsed/>
    <w:rsid w:val="001547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List heading 1 Char"/>
    <w:link w:val="ListParagraph"/>
    <w:uiPriority w:val="34"/>
    <w:locked/>
    <w:rsid w:val="00187760"/>
    <w:rPr>
      <w:rFonts w:ascii="Calibri" w:eastAsia="Calibri" w:hAnsi="Calibri" w:cs="Times New Roman"/>
      <w:lang w:val="en-US"/>
    </w:rPr>
  </w:style>
  <w:style w:type="paragraph" w:styleId="NoSpacing">
    <w:name w:val="No Spacing"/>
    <w:uiPriority w:val="1"/>
    <w:qFormat/>
    <w:rsid w:val="003F5B2F"/>
    <w:pPr>
      <w:spacing w:after="0" w:line="240" w:lineRule="auto"/>
    </w:pPr>
    <w:rPr>
      <w:rFonts w:ascii="Calibri" w:eastAsia="Calibri" w:hAnsi="Calibri" w:cs="Times New Roman"/>
    </w:rPr>
  </w:style>
  <w:style w:type="paragraph" w:customStyle="1" w:styleId="PS2">
    <w:name w:val="PS2"/>
    <w:basedOn w:val="Normal"/>
    <w:rsid w:val="001608A2"/>
    <w:pPr>
      <w:keepNext/>
      <w:widowControl w:val="0"/>
      <w:autoSpaceDE w:val="0"/>
      <w:autoSpaceDN w:val="0"/>
      <w:adjustRightInd w:val="0"/>
      <w:spacing w:after="120" w:line="276" w:lineRule="auto"/>
      <w:jc w:val="both"/>
    </w:pPr>
    <w:rPr>
      <w:b/>
      <w:bCs/>
      <w:lang w:val="en-GB"/>
    </w:rPr>
  </w:style>
  <w:style w:type="paragraph" w:customStyle="1" w:styleId="Default">
    <w:name w:val="Default"/>
    <w:rsid w:val="001608A2"/>
    <w:pPr>
      <w:autoSpaceDE w:val="0"/>
      <w:autoSpaceDN w:val="0"/>
      <w:adjustRightInd w:val="0"/>
      <w:spacing w:after="120" w:line="276" w:lineRule="auto"/>
    </w:pPr>
    <w:rPr>
      <w:rFonts w:ascii="Arial" w:eastAsia="Times New Roman" w:hAnsi="Arial" w:cs="Arial"/>
      <w:color w:val="000000"/>
      <w:sz w:val="24"/>
      <w:szCs w:val="24"/>
      <w:lang w:val="en-US"/>
    </w:rPr>
  </w:style>
  <w:style w:type="paragraph" w:styleId="BalloonText">
    <w:name w:val="Balloon Text"/>
    <w:basedOn w:val="Normal"/>
    <w:link w:val="BalloonTextChar"/>
    <w:uiPriority w:val="99"/>
    <w:semiHidden/>
    <w:unhideWhenUsed/>
    <w:rsid w:val="00A22D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2D14"/>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343867">
      <w:bodyDiv w:val="1"/>
      <w:marLeft w:val="0"/>
      <w:marRight w:val="0"/>
      <w:marTop w:val="0"/>
      <w:marBottom w:val="0"/>
      <w:divBdr>
        <w:top w:val="none" w:sz="0" w:space="0" w:color="auto"/>
        <w:left w:val="none" w:sz="0" w:space="0" w:color="auto"/>
        <w:bottom w:val="none" w:sz="0" w:space="0" w:color="auto"/>
        <w:right w:val="none" w:sz="0" w:space="0" w:color="auto"/>
      </w:divBdr>
    </w:div>
    <w:div w:id="1365397785">
      <w:bodyDiv w:val="1"/>
      <w:marLeft w:val="0"/>
      <w:marRight w:val="0"/>
      <w:marTop w:val="0"/>
      <w:marBottom w:val="0"/>
      <w:divBdr>
        <w:top w:val="none" w:sz="0" w:space="0" w:color="auto"/>
        <w:left w:val="none" w:sz="0" w:space="0" w:color="auto"/>
        <w:bottom w:val="none" w:sz="0" w:space="0" w:color="auto"/>
        <w:right w:val="none" w:sz="0" w:space="0" w:color="auto"/>
      </w:divBdr>
    </w:div>
    <w:div w:id="1508712267">
      <w:bodyDiv w:val="1"/>
      <w:marLeft w:val="0"/>
      <w:marRight w:val="0"/>
      <w:marTop w:val="0"/>
      <w:marBottom w:val="0"/>
      <w:divBdr>
        <w:top w:val="none" w:sz="0" w:space="0" w:color="auto"/>
        <w:left w:val="none" w:sz="0" w:space="0" w:color="auto"/>
        <w:bottom w:val="none" w:sz="0" w:space="0" w:color="auto"/>
        <w:right w:val="none" w:sz="0" w:space="0" w:color="auto"/>
      </w:divBdr>
    </w:div>
    <w:div w:id="1733114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wsigprojects@ndlambe.gov.za" TargetMode="External"/><Relationship Id="rId4" Type="http://schemas.openxmlformats.org/officeDocument/2006/relationships/settings" Target="settings.xml"/><Relationship Id="rId9" Type="http://schemas.openxmlformats.org/officeDocument/2006/relationships/hyperlink" Target="mailto:wsigprojects@ndlambe.gov.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1126</Words>
  <Characters>6423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Singh</dc:creator>
  <cp:lastModifiedBy>Anelisa Klaas</cp:lastModifiedBy>
  <cp:revision>11</cp:revision>
  <cp:lastPrinted>2020-08-11T13:12:00Z</cp:lastPrinted>
  <dcterms:created xsi:type="dcterms:W3CDTF">2020-08-11T11:10:00Z</dcterms:created>
  <dcterms:modified xsi:type="dcterms:W3CDTF">2020-08-12T13:16:00Z</dcterms:modified>
</cp:coreProperties>
</file>